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9A1731" w14:textId="5BB6D5A4" w:rsidR="00563C2E" w:rsidRDefault="00C5314E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02ED623" wp14:editId="0D83739F">
                <wp:simplePos x="0" y="0"/>
                <wp:positionH relativeFrom="page">
                  <wp:align>left</wp:align>
                </wp:positionH>
                <wp:positionV relativeFrom="paragraph">
                  <wp:posOffset>-891540</wp:posOffset>
                </wp:positionV>
                <wp:extent cx="11185880" cy="7519035"/>
                <wp:effectExtent l="0" t="0" r="15875" b="24765"/>
                <wp:wrapNone/>
                <wp:docPr id="145009008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85880" cy="75190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C983C8" w14:textId="79612C84" w:rsidR="00AA0F29" w:rsidRDefault="00AA0F29" w:rsidP="00AA0F29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ED623" id="Rectangle 5" o:spid="_x0000_s1026" style="position:absolute;left:0;text-align:left;margin-left:0;margin-top:-70.2pt;width:880.8pt;height:592.05pt;z-index:-25165312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" fillcolor="#4472c4 [3204]" strokecolor="#09101d [484]" strokeweight="1pt">
                <v:textbox>
                  <w:txbxContent>
                    <w:p w14:paraId="72C983C8" w14:textId="79612C84" w:rsidR="00AA0F29" w:rsidRDefault="00AA0F29" w:rsidP="00AA0F29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7AFC7C0E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28CE5CBC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165CAB13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4BA76420" w14:textId="0F66E793" w:rsidR="00281A87" w:rsidRPr="00C5314E" w:rsidRDefault="00747A7D" w:rsidP="00164181">
      <w:pPr>
        <w:ind w:left="-567"/>
        <w:textAlignment w:val="baseline"/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</w:pPr>
      <w:r w:rsidRPr="00C5314E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 xml:space="preserve">Chapitre </w:t>
      </w:r>
      <w:proofErr w:type="gramStart"/>
      <w:r w:rsidRPr="00C5314E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 xml:space="preserve">2 </w:t>
      </w:r>
      <w:r w:rsidR="00164181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 xml:space="preserve"> A</w:t>
      </w:r>
      <w:r w:rsidRPr="00C5314E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>rbitrages</w:t>
      </w:r>
      <w:proofErr w:type="gramEnd"/>
      <w:r w:rsidRPr="00C5314E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 xml:space="preserve"> </w:t>
      </w:r>
      <w:r w:rsidR="00C5314E" w:rsidRPr="00C5314E">
        <w:rPr>
          <w:rFonts w:eastAsia="Times New Roman" w:cstheme="majorBidi"/>
          <w:b/>
          <w:bCs/>
          <w:color w:val="E7E6E6" w:themeColor="background2"/>
          <w:kern w:val="2"/>
          <w:sz w:val="60"/>
          <w:szCs w:val="60"/>
          <w:bdr w:val="none" w:sz="0" w:space="0" w:color="auto" w:frame="1"/>
          <w:lang w:eastAsia="fr-FR"/>
          <w14:ligatures w14:val="standardContextual"/>
        </w:rPr>
        <w:t>relatifs à la constitution d’actifs patrimoniaux</w:t>
      </w:r>
    </w:p>
    <w:p w14:paraId="29047C59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5D864424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70C0B1BF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7F55CB38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61FB060F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6CA9A732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sdt>
      <w:sdtPr>
        <w:rPr>
          <w:rFonts w:ascii="Open Sans" w:eastAsiaTheme="minorHAnsi" w:hAnsi="Open Sans" w:cstheme="minorBidi"/>
          <w:color w:val="auto"/>
          <w:sz w:val="24"/>
          <w:szCs w:val="22"/>
          <w:lang w:eastAsia="en-US"/>
        </w:rPr>
        <w:id w:val="572329109"/>
        <w:docPartObj>
          <w:docPartGallery w:val="Table of Contents"/>
          <w:docPartUnique/>
        </w:docPartObj>
      </w:sdtPr>
      <w:sdtEndPr>
        <w:rPr>
          <w:b/>
          <w:bCs/>
          <w:noProof/>
          <w:sz w:val="28"/>
        </w:rPr>
      </w:sdtEndPr>
      <w:sdtContent>
        <w:p w14:paraId="632D3557" w14:textId="77777777" w:rsidR="00747A7D" w:rsidRPr="00BE50B1" w:rsidRDefault="00747A7D" w:rsidP="00747A7D">
          <w:pPr>
            <w:pStyle w:val="En-ttedetabledesmatires"/>
            <w:rPr>
              <w:rFonts w:ascii="Open Sans" w:eastAsiaTheme="minorHAnsi" w:hAnsi="Open Sans" w:cstheme="minorBidi"/>
              <w:color w:val="auto"/>
              <w:sz w:val="24"/>
              <w:szCs w:val="22"/>
              <w:lang w:eastAsia="en-US"/>
            </w:rPr>
          </w:pPr>
          <w:r>
            <w:t>Table des matières</w:t>
          </w:r>
        </w:p>
        <w:p w14:paraId="2563C9AF" w14:textId="04D91978" w:rsidR="00DE0060" w:rsidRDefault="00747A7D">
          <w:pPr>
            <w:pStyle w:val="TM2"/>
            <w:tabs>
              <w:tab w:val="left" w:pos="720"/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0918404" w:history="1">
            <w:r w:rsidR="00DE0060" w:rsidRPr="006E61F6">
              <w:rPr>
                <w:rStyle w:val="Lienhypertexte"/>
                <w:noProof/>
              </w:rPr>
              <w:t>I.</w:t>
            </w:r>
            <w:r w:rsidR="00DE0060"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DE0060" w:rsidRPr="006E61F6">
              <w:rPr>
                <w:rStyle w:val="Lienhypertexte"/>
                <w:noProof/>
              </w:rPr>
              <w:t>Acquérir vs. louer sa résidence principale</w:t>
            </w:r>
            <w:r w:rsidR="00DE0060">
              <w:rPr>
                <w:noProof/>
                <w:webHidden/>
              </w:rPr>
              <w:tab/>
            </w:r>
            <w:r w:rsidR="00DE0060">
              <w:rPr>
                <w:noProof/>
                <w:webHidden/>
              </w:rPr>
              <w:fldChar w:fldCharType="begin"/>
            </w:r>
            <w:r w:rsidR="00DE0060">
              <w:rPr>
                <w:noProof/>
                <w:webHidden/>
              </w:rPr>
              <w:instrText xml:space="preserve"> PAGEREF _Toc220918404 \h </w:instrText>
            </w:r>
            <w:r w:rsidR="00DE0060">
              <w:rPr>
                <w:noProof/>
                <w:webHidden/>
              </w:rPr>
            </w:r>
            <w:r w:rsidR="00DE0060">
              <w:rPr>
                <w:noProof/>
                <w:webHidden/>
              </w:rPr>
              <w:fldChar w:fldCharType="separate"/>
            </w:r>
            <w:r w:rsidR="00DE0060">
              <w:rPr>
                <w:noProof/>
                <w:webHidden/>
              </w:rPr>
              <w:t>3</w:t>
            </w:r>
            <w:r w:rsidR="00DE0060">
              <w:rPr>
                <w:noProof/>
                <w:webHidden/>
              </w:rPr>
              <w:fldChar w:fldCharType="end"/>
            </w:r>
          </w:hyperlink>
        </w:p>
        <w:p w14:paraId="003D0B88" w14:textId="3ED3E6D3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05" w:history="1">
            <w:r w:rsidRPr="006E61F6">
              <w:rPr>
                <w:rStyle w:val="Lienhypertexte"/>
                <w:noProof/>
              </w:rPr>
              <w:t>1.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L’achat et la location à l’aune de critères sociologiques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F0026D" w14:textId="73FFB909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06" w:history="1">
            <w:r w:rsidRPr="006E61F6">
              <w:rPr>
                <w:rStyle w:val="Lienhypertexte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L’achat et la location à l’aune de critères économiques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99D4E8" w14:textId="76F12963" w:rsidR="00DE0060" w:rsidRDefault="00DE0060">
          <w:pPr>
            <w:pStyle w:val="TM2"/>
            <w:tabs>
              <w:tab w:val="left" w:pos="720"/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07" w:history="1">
            <w:r w:rsidRPr="006E61F6">
              <w:rPr>
                <w:rStyle w:val="Lienhypertexte"/>
                <w:noProof/>
              </w:rPr>
              <w:t>II.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Investir en locatif dans le neuf versus dans l’ancien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9B12E" w14:textId="1BBD5081" w:rsidR="00DE0060" w:rsidRDefault="00DE0060">
          <w:pPr>
            <w:pStyle w:val="TM2"/>
            <w:tabs>
              <w:tab w:val="left" w:pos="960"/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08" w:history="1">
            <w:r w:rsidRPr="006E61F6">
              <w:rPr>
                <w:rStyle w:val="Lienhypertexte"/>
                <w:noProof/>
              </w:rPr>
              <w:t>III.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Louer en meublé plutôt que vide (« nu »)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F16F1" w14:textId="76E20243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09" w:history="1">
            <w:r w:rsidRPr="006E61F6">
              <w:rPr>
                <w:rStyle w:val="Lienhypertexte"/>
                <w:noProof/>
              </w:rPr>
              <w:t>1.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Équipement du logement loué meublé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FFDE51" w14:textId="0ABF6A27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10" w:history="1">
            <w:r w:rsidRPr="006E61F6">
              <w:rPr>
                <w:rStyle w:val="Lienhypertexte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Régime fiscal du logement loué meublé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0076D5" w14:textId="08276F18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11" w:history="1">
            <w:r w:rsidRPr="006E61F6">
              <w:rPr>
                <w:rStyle w:val="Lienhypertexte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Régime commun aux loueurs en meublé professionnels ou non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DBA610" w14:textId="2E6AE745" w:rsidR="00DE0060" w:rsidRDefault="00DE0060">
          <w:pPr>
            <w:pStyle w:val="TM3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20918412" w:history="1">
            <w:r w:rsidRPr="006E61F6">
              <w:rPr>
                <w:rStyle w:val="Lienhypertexte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6E61F6">
              <w:rPr>
                <w:rStyle w:val="Lienhypertexte"/>
                <w:noProof/>
              </w:rPr>
              <w:t>Spécificité liée au statut de loueur en meublé professionnel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_Toc220918412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5B5CB8" w14:textId="657EA819" w:rsidR="00747A7D" w:rsidRDefault="00747A7D" w:rsidP="00747A7D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21D4C58B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122EAB85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1CF48740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3EC6C828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7E7FA80C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080B0CB9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652A6CF4" w14:textId="77777777" w:rsidR="00281A87" w:rsidRDefault="00281A87" w:rsidP="00FD73FA">
      <w:pPr>
        <w:jc w:val="left"/>
        <w:textAlignment w:val="baseline"/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</w:pPr>
    </w:p>
    <w:p w14:paraId="3DB2A321" w14:textId="2AF3C71D" w:rsidR="00FD73FA" w:rsidRDefault="00B42117" w:rsidP="00FD73FA">
      <w:pPr>
        <w:jc w:val="left"/>
        <w:textAlignment w:val="baseline"/>
        <w:rPr>
          <w:rFonts w:cs="Open Sans"/>
          <w:color w:val="333333"/>
          <w:sz w:val="19"/>
          <w:szCs w:val="19"/>
        </w:rPr>
      </w:pPr>
      <w:r>
        <w:rPr>
          <w:rFonts w:eastAsia="Times New Roman" w:cstheme="majorBidi"/>
          <w:b/>
          <w:bCs/>
          <w:color w:val="2F5496" w:themeColor="accent1" w:themeShade="BF"/>
          <w:kern w:val="2"/>
          <w:sz w:val="44"/>
          <w:szCs w:val="26"/>
          <w:bdr w:val="none" w:sz="0" w:space="0" w:color="auto" w:frame="1"/>
          <w:lang w:eastAsia="fr-FR"/>
          <w14:ligatures w14:val="standardContextual"/>
        </w:rPr>
        <w:br w:type="page"/>
      </w:r>
    </w:p>
    <w:p w14:paraId="68255893" w14:textId="7579A220" w:rsidR="00D865BE" w:rsidRDefault="00B7682B" w:rsidP="00D865BE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63C558F" wp14:editId="7C7D9F0B">
                <wp:simplePos x="0" y="0"/>
                <wp:positionH relativeFrom="page">
                  <wp:align>left</wp:align>
                </wp:positionH>
                <wp:positionV relativeFrom="paragraph">
                  <wp:posOffset>-1171575</wp:posOffset>
                </wp:positionV>
                <wp:extent cx="10994390" cy="9523730"/>
                <wp:effectExtent l="0" t="0" r="16510" b="20320"/>
                <wp:wrapNone/>
                <wp:docPr id="952286046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94390" cy="952373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480EB" id="Rectangle 11" o:spid="_x0000_s1026" style="position:absolute;margin-left:0;margin-top:-92.25pt;width:865.7pt;height:749.9pt;z-index:-25165619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" fillcolor="#2f5496 [2404]" strokecolor="#09101d [484]" strokeweight="1pt">
                <w10:wrap anchorx="page"/>
              </v:rect>
            </w:pict>
          </mc:Fallback>
        </mc:AlternateContent>
      </w:r>
    </w:p>
    <w:p w14:paraId="245506FB" w14:textId="70793881" w:rsidR="00D865BE" w:rsidRDefault="00D865BE" w:rsidP="00D865BE"/>
    <w:p w14:paraId="3D6289B3" w14:textId="77777777" w:rsidR="00D865BE" w:rsidRDefault="00D865BE" w:rsidP="00D865BE"/>
    <w:p w14:paraId="06349138" w14:textId="77777777" w:rsidR="00D865BE" w:rsidRDefault="00D865BE" w:rsidP="00D865BE"/>
    <w:p w14:paraId="7047C152" w14:textId="77777777" w:rsidR="00D865BE" w:rsidRDefault="00D865BE" w:rsidP="00D865BE"/>
    <w:p w14:paraId="53C9FE81" w14:textId="77777777" w:rsidR="00D865BE" w:rsidRDefault="00D865BE" w:rsidP="00D865BE"/>
    <w:p w14:paraId="29F301BE" w14:textId="77777777" w:rsidR="00D865BE" w:rsidRDefault="00D865BE" w:rsidP="00D865BE"/>
    <w:p w14:paraId="2CB4329F" w14:textId="07357C6C" w:rsidR="00D865BE" w:rsidRPr="00D865BE" w:rsidRDefault="00F22A0B" w:rsidP="009F5FCD">
      <w:pPr>
        <w:pStyle w:val="Titre2"/>
      </w:pPr>
      <w:bookmarkStart w:id="0" w:name="_Toc220918404"/>
      <w:r w:rsidRPr="00D865BE">
        <w:t>Acquérir vs.</w:t>
      </w:r>
      <w:r w:rsidR="00B7208E" w:rsidRPr="00D865BE">
        <w:t xml:space="preserve"> </w:t>
      </w:r>
      <w:r w:rsidRPr="00D865BE">
        <w:t>louer sa résidence principale</w:t>
      </w:r>
      <w:bookmarkEnd w:id="0"/>
    </w:p>
    <w:p w14:paraId="417C5361" w14:textId="77777777" w:rsidR="00F22A0B" w:rsidRPr="00F22A0B" w:rsidRDefault="00F22A0B" w:rsidP="00F22A0B"/>
    <w:p w14:paraId="1806D08F" w14:textId="6B5C11C4" w:rsidR="00D865BE" w:rsidRDefault="00F22A0B" w:rsidP="00D865BE">
      <w:pPr>
        <w:shd w:val="clear" w:color="auto" w:fill="FFFFFF"/>
        <w:spacing w:line="0" w:lineRule="auto"/>
        <w:jc w:val="center"/>
        <w:textAlignment w:val="baseline"/>
        <w:rPr>
          <w:rFonts w:cs="Open Sans"/>
          <w:color w:val="666666"/>
          <w:sz w:val="21"/>
          <w:szCs w:val="21"/>
        </w:rPr>
      </w:pPr>
      <w:r>
        <w:rPr>
          <w:rFonts w:cs="Open Sans"/>
          <w:noProof/>
          <w:color w:val="666666"/>
          <w:sz w:val="21"/>
          <w:szCs w:val="21"/>
          <w:bdr w:val="none" w:sz="0" w:space="0" w:color="auto" w:frame="1"/>
        </w:rPr>
        <w:lastRenderedPageBreak/>
        <w:drawing>
          <wp:inline distT="0" distB="0" distL="0" distR="0" wp14:anchorId="028B4338" wp14:editId="06F74925">
            <wp:extent cx="6049796" cy="4031673"/>
            <wp:effectExtent l="533400" t="457200" r="808355" b="807085"/>
            <wp:docPr id="1861764181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744" cy="4050298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E33FC1F" w14:textId="77777777" w:rsidR="00F22A0B" w:rsidRDefault="00F22A0B" w:rsidP="00F22A0B">
      <w:pPr>
        <w:shd w:val="clear" w:color="auto" w:fill="FFFFFF"/>
        <w:spacing w:line="0" w:lineRule="auto"/>
        <w:textAlignment w:val="baseline"/>
        <w:rPr>
          <w:rFonts w:cs="Open Sans"/>
          <w:color w:val="666666"/>
          <w:sz w:val="21"/>
          <w:szCs w:val="21"/>
        </w:rPr>
      </w:pPr>
    </w:p>
    <w:p w14:paraId="0BB48200" w14:textId="2D578825" w:rsidR="00C40002" w:rsidRDefault="004050CB" w:rsidP="00257787">
      <w:pPr>
        <w:pStyle w:val="CGPC-elearning"/>
        <w:numPr>
          <w:ilvl w:val="0"/>
          <w:numId w:val="0"/>
        </w:numPr>
        <w:ind w:left="720"/>
        <w:jc w:val="both"/>
      </w:pPr>
      <w:r>
        <w:lastRenderedPageBreak/>
        <w:t>A</w:t>
      </w:r>
      <w:r w:rsidR="00F22A0B">
        <w:t xml:space="preserve">cheter </w:t>
      </w:r>
      <w:r>
        <w:t xml:space="preserve">le </w:t>
      </w:r>
      <w:r w:rsidR="00F22A0B">
        <w:t xml:space="preserve">logement </w:t>
      </w:r>
      <w:r>
        <w:t xml:space="preserve">destiné à faire office de résidence principale plutôt que le louer </w:t>
      </w:r>
      <w:r w:rsidR="00F22A0B">
        <w:t>est l’un des conseils les plus gratuitement distribué</w:t>
      </w:r>
      <w:r>
        <w:t>s</w:t>
      </w:r>
      <w:r w:rsidR="00F22A0B">
        <w:t xml:space="preserve">. </w:t>
      </w:r>
    </w:p>
    <w:p w14:paraId="09789A3D" w14:textId="77777777" w:rsidR="00257787" w:rsidRDefault="00257787" w:rsidP="00257787">
      <w:pPr>
        <w:pStyle w:val="CGPC-elearning"/>
        <w:numPr>
          <w:ilvl w:val="0"/>
          <w:numId w:val="0"/>
        </w:numPr>
        <w:ind w:left="720"/>
        <w:jc w:val="both"/>
      </w:pPr>
    </w:p>
    <w:p w14:paraId="7254E1C7" w14:textId="7F5F98AB" w:rsidR="00C40002" w:rsidRDefault="004050CB" w:rsidP="00257787">
      <w:pPr>
        <w:pStyle w:val="CGPC-elearning"/>
        <w:numPr>
          <w:ilvl w:val="0"/>
          <w:numId w:val="0"/>
        </w:numPr>
        <w:ind w:left="720"/>
        <w:jc w:val="both"/>
      </w:pPr>
      <w:r>
        <w:t xml:space="preserve">A cet </w:t>
      </w:r>
      <w:r w:rsidR="00F22A0B">
        <w:t xml:space="preserve">effet, il est commun d’opposer </w:t>
      </w:r>
      <w:r w:rsidR="00FD029E">
        <w:t xml:space="preserve">la sécurité de la propriété d’un bien immobilier (notamment pour ses vieux jours) à </w:t>
      </w:r>
      <w:r w:rsidR="00F22A0B">
        <w:t xml:space="preserve">la </w:t>
      </w:r>
      <w:r w:rsidR="00C40002">
        <w:t>« </w:t>
      </w:r>
      <w:r w:rsidR="00F22A0B">
        <w:t>perte</w:t>
      </w:r>
      <w:r w:rsidR="00C40002">
        <w:t> »</w:t>
      </w:r>
      <w:r w:rsidR="00F22A0B">
        <w:t xml:space="preserve"> résultant du paiement des loyers </w:t>
      </w:r>
      <w:r w:rsidR="00FD029E">
        <w:t>à tiers</w:t>
      </w:r>
      <w:r w:rsidR="00F22A0B">
        <w:t xml:space="preserve"> </w:t>
      </w:r>
      <w:r w:rsidR="00920397">
        <w:t>et de</w:t>
      </w:r>
      <w:r>
        <w:t xml:space="preserve"> not</w:t>
      </w:r>
      <w:r w:rsidR="00920397">
        <w:t>er</w:t>
      </w:r>
      <w:r w:rsidR="00F22A0B">
        <w:t xml:space="preserve"> </w:t>
      </w:r>
      <w:r w:rsidR="00C40002">
        <w:t xml:space="preserve">que </w:t>
      </w:r>
      <w:r w:rsidR="00F22A0B">
        <w:t xml:space="preserve">l’acquisition d’un bien immobilier peut s’effectuer en bénéficiant dans une proportion importante d’un crédit à des </w:t>
      </w:r>
      <w:r w:rsidR="00C40002">
        <w:t>« </w:t>
      </w:r>
      <w:r w:rsidR="00F22A0B">
        <w:t>taux concurrentiels</w:t>
      </w:r>
      <w:r w:rsidR="00C40002">
        <w:t> »</w:t>
      </w:r>
      <w:r w:rsidR="00FD029E">
        <w:t>.</w:t>
      </w:r>
      <w:r w:rsidR="00920397">
        <w:t xml:space="preserve"> Bref, de mé</w:t>
      </w:r>
      <w:r w:rsidR="00FD029E">
        <w:t>lang</w:t>
      </w:r>
      <w:r w:rsidR="00920397">
        <w:t xml:space="preserve">er des </w:t>
      </w:r>
      <w:r w:rsidR="00FD029E">
        <w:t>arguments</w:t>
      </w:r>
      <w:r w:rsidR="00920397">
        <w:t xml:space="preserve"> </w:t>
      </w:r>
      <w:r w:rsidR="00FD029E">
        <w:t>sociologiques (relevant d’un choix de vie) et des arguments économiques (renvoyant aux différents modes de placement de l’épargne).</w:t>
      </w:r>
    </w:p>
    <w:p w14:paraId="2EE03414" w14:textId="77777777" w:rsidR="00FD029E" w:rsidRDefault="00FD029E" w:rsidP="002777A7">
      <w:pPr>
        <w:pStyle w:val="CGPC-elearning"/>
        <w:numPr>
          <w:ilvl w:val="0"/>
          <w:numId w:val="0"/>
        </w:numPr>
        <w:ind w:left="720"/>
      </w:pPr>
    </w:p>
    <w:p w14:paraId="206BA511" w14:textId="36025714" w:rsidR="00F22A0B" w:rsidRDefault="00FD029E" w:rsidP="009F5FCD">
      <w:pPr>
        <w:pStyle w:val="Titre3"/>
        <w:rPr>
          <w:rStyle w:val="lev"/>
          <w:b/>
          <w:bCs/>
        </w:rPr>
      </w:pPr>
      <w:bookmarkStart w:id="1" w:name="_Toc220918405"/>
      <w:r w:rsidRPr="00121DC1">
        <w:rPr>
          <w:rStyle w:val="lev"/>
          <w:b/>
          <w:bCs/>
        </w:rPr>
        <w:t>L’achat et la location à l’aune de</w:t>
      </w:r>
      <w:r w:rsidR="00F22A0B" w:rsidRPr="00121DC1">
        <w:rPr>
          <w:rStyle w:val="lev"/>
          <w:b/>
          <w:bCs/>
        </w:rPr>
        <w:t xml:space="preserve"> critères sociologiques</w:t>
      </w:r>
      <w:bookmarkEnd w:id="1"/>
    </w:p>
    <w:p w14:paraId="119D4A27" w14:textId="77777777" w:rsidR="00257787" w:rsidRPr="00257787" w:rsidRDefault="00257787" w:rsidP="00257787">
      <w:pPr>
        <w:rPr>
          <w:lang w:eastAsia="fr-FR"/>
        </w:rPr>
      </w:pPr>
    </w:p>
    <w:p w14:paraId="60FE1A5C" w14:textId="77777777" w:rsidR="00121DC1" w:rsidRDefault="00F22A0B" w:rsidP="009F5FCD">
      <w:pPr>
        <w:pStyle w:val="CGPC-elearning"/>
      </w:pPr>
      <w:r>
        <w:t xml:space="preserve">Le lieu de vie (le quartier ou le choix entre banlieue/centre-ville) peut ne pas être le même </w:t>
      </w:r>
      <w:r w:rsidR="00121DC1">
        <w:t>selon que l’on prend</w:t>
      </w:r>
      <w:r>
        <w:t xml:space="preserve"> une location </w:t>
      </w:r>
      <w:r w:rsidR="00121DC1">
        <w:t>ou effectue une acquisition</w:t>
      </w:r>
      <w:r>
        <w:t>, en fonction des moyens financiers</w:t>
      </w:r>
      <w:r w:rsidR="00121DC1">
        <w:t xml:space="preserve"> dont on dispose</w:t>
      </w:r>
      <w:r>
        <w:t xml:space="preserve">. </w:t>
      </w:r>
    </w:p>
    <w:p w14:paraId="69D4BF78" w14:textId="77777777" w:rsidR="00121DC1" w:rsidRDefault="00121DC1" w:rsidP="009F5FCD">
      <w:pPr>
        <w:pStyle w:val="CGPC-elearning"/>
      </w:pPr>
      <w:r>
        <w:t>Par ailleurs</w:t>
      </w:r>
      <w:r w:rsidR="00F22A0B">
        <w:t xml:space="preserve">, l’acquisition rend plus dépendant d’un lieu pour l’activité professionnelle (ou les études des enfants !). </w:t>
      </w:r>
    </w:p>
    <w:p w14:paraId="5CA84E8C" w14:textId="3374853F" w:rsidR="00F22A0B" w:rsidRDefault="00F22A0B" w:rsidP="009F5FCD">
      <w:pPr>
        <w:pStyle w:val="CGPC-elearning"/>
      </w:pPr>
      <w:r>
        <w:lastRenderedPageBreak/>
        <w:t xml:space="preserve">Enfin, le choix du lieu de résidence ou de la nature du bien (en étage, en centre-ville ou non, nombre de chambres) </w:t>
      </w:r>
      <w:r w:rsidR="00121DC1">
        <w:t>peut ne pas s’avérer</w:t>
      </w:r>
      <w:r>
        <w:t xml:space="preserve"> le meilleur </w:t>
      </w:r>
      <w:r w:rsidR="00C96E76">
        <w:t>compte tenu</w:t>
      </w:r>
      <w:r>
        <w:t xml:space="preserve"> de l’évolution de la famille </w:t>
      </w:r>
      <w:r w:rsidR="00C96E76">
        <w:t xml:space="preserve">et </w:t>
      </w:r>
      <w:r>
        <w:t>de l’âge des occupants.</w:t>
      </w:r>
    </w:p>
    <w:p w14:paraId="3FDA34BD" w14:textId="6D5F37C2" w:rsidR="00F22A0B" w:rsidRDefault="00F22A0B" w:rsidP="009F5FCD">
      <w:pPr>
        <w:pStyle w:val="CGPC-elearning"/>
      </w:pPr>
      <w:r>
        <w:t xml:space="preserve">En conclusion, la location est plus souple et s’adapte aux besoins familiaux </w:t>
      </w:r>
      <w:r w:rsidR="00C96E76">
        <w:t xml:space="preserve">du </w:t>
      </w:r>
      <w:r w:rsidR="00034550">
        <w:t>moment ;</w:t>
      </w:r>
      <w:r>
        <w:t xml:space="preserve"> l’achat est plus sécurisant et semble moins coûteux</w:t>
      </w:r>
      <w:r w:rsidR="00C96E76">
        <w:t xml:space="preserve"> (assertion à vérifier sur chaque cas)</w:t>
      </w:r>
      <w:r>
        <w:t>.</w:t>
      </w:r>
    </w:p>
    <w:p w14:paraId="2E833E5F" w14:textId="77777777" w:rsidR="002777A7" w:rsidRDefault="002777A7" w:rsidP="002777A7">
      <w:pPr>
        <w:pStyle w:val="CGPC-elearning"/>
        <w:numPr>
          <w:ilvl w:val="0"/>
          <w:numId w:val="0"/>
        </w:numPr>
        <w:ind w:left="720"/>
      </w:pPr>
    </w:p>
    <w:p w14:paraId="3126155F" w14:textId="1E3CDFC6" w:rsidR="00F22A0B" w:rsidRDefault="00121DC1" w:rsidP="009F5FCD">
      <w:pPr>
        <w:pStyle w:val="Titre3"/>
      </w:pPr>
      <w:bookmarkStart w:id="2" w:name="_Toc220918406"/>
      <w:r w:rsidRPr="00121DC1">
        <w:rPr>
          <w:rStyle w:val="lev"/>
          <w:b/>
          <w:bCs/>
        </w:rPr>
        <w:t>L’achat et la location à l’aune</w:t>
      </w:r>
      <w:r>
        <w:rPr>
          <w:rStyle w:val="lev"/>
          <w:b/>
          <w:bCs/>
        </w:rPr>
        <w:t xml:space="preserve"> de</w:t>
      </w:r>
      <w:r w:rsidR="00F22A0B" w:rsidRPr="00121DC1">
        <w:t xml:space="preserve"> critères économiques</w:t>
      </w:r>
      <w:bookmarkEnd w:id="2"/>
    </w:p>
    <w:p w14:paraId="43BF8B25" w14:textId="77777777" w:rsidR="00286925" w:rsidRPr="00286925" w:rsidRDefault="00286925" w:rsidP="00286925">
      <w:pPr>
        <w:rPr>
          <w:lang w:eastAsia="fr-FR"/>
        </w:rPr>
      </w:pPr>
    </w:p>
    <w:p w14:paraId="1D0EA7C5" w14:textId="74F58276" w:rsidR="00F22A0B" w:rsidRDefault="00F22A0B" w:rsidP="009F5FCD">
      <w:pPr>
        <w:pStyle w:val="CGPC-elearning"/>
      </w:pPr>
      <w:r>
        <w:t xml:space="preserve">La comparaison économique entre achat et location </w:t>
      </w:r>
      <w:r w:rsidR="00C96E76">
        <w:t xml:space="preserve">fait intervenir </w:t>
      </w:r>
      <w:r>
        <w:t>un nombre de variables qui ne sont pas toutes chiffrables.</w:t>
      </w:r>
    </w:p>
    <w:p w14:paraId="00E7D9EB" w14:textId="77777777" w:rsidR="00C96E76" w:rsidRDefault="00C96E76" w:rsidP="009F5FCD">
      <w:pPr>
        <w:pStyle w:val="CGPC-elearning"/>
      </w:pPr>
      <w:r>
        <w:t xml:space="preserve">Les variables entrant en compte pour </w:t>
      </w:r>
      <w:r w:rsidR="00F22A0B">
        <w:t xml:space="preserve">l’achat </w:t>
      </w:r>
      <w:r>
        <w:t xml:space="preserve">sont </w:t>
      </w:r>
      <w:r w:rsidR="00F22A0B">
        <w:t xml:space="preserve">:  </w:t>
      </w:r>
    </w:p>
    <w:p w14:paraId="0DCFD771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le </w:t>
      </w:r>
      <w:r w:rsidR="00F22A0B">
        <w:t xml:space="preserve">prix d’achat et </w:t>
      </w:r>
      <w:r>
        <w:t xml:space="preserve">les </w:t>
      </w:r>
      <w:r w:rsidR="00F22A0B">
        <w:t xml:space="preserve">conditions de prêt, </w:t>
      </w:r>
    </w:p>
    <w:p w14:paraId="59902184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le </w:t>
      </w:r>
      <w:r w:rsidR="00F22A0B">
        <w:t xml:space="preserve">montant de l’apport personnel, </w:t>
      </w:r>
    </w:p>
    <w:p w14:paraId="402DA219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la </w:t>
      </w:r>
      <w:r w:rsidR="00F22A0B">
        <w:t xml:space="preserve">valorisation du bien acheté, </w:t>
      </w:r>
    </w:p>
    <w:p w14:paraId="0D731963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>- l’</w:t>
      </w:r>
      <w:r w:rsidR="00F22A0B">
        <w:t xml:space="preserve">augmentation des taux dans le cas d’un crédit à taux variable ou d’une vente suivie d’un rachat (déménagement…), </w:t>
      </w:r>
    </w:p>
    <w:p w14:paraId="72BB4B0E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lastRenderedPageBreak/>
        <w:t xml:space="preserve">- les </w:t>
      </w:r>
      <w:r w:rsidR="00F22A0B">
        <w:t xml:space="preserve">travaux nécessaires (surtout en présence d’une législation de plus en plus contraignante sur le développement durable et les économies d’énergie), </w:t>
      </w:r>
    </w:p>
    <w:p w14:paraId="7562C883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les </w:t>
      </w:r>
      <w:r w:rsidR="00F22A0B">
        <w:t xml:space="preserve">frais de notaire, </w:t>
      </w:r>
    </w:p>
    <w:p w14:paraId="5646E444" w14:textId="1CA4B4F6" w:rsidR="00F22A0B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la </w:t>
      </w:r>
      <w:r w:rsidR="00F22A0B">
        <w:t>taxe foncière.</w:t>
      </w:r>
    </w:p>
    <w:p w14:paraId="78AFEB47" w14:textId="63730BE1" w:rsidR="00F22A0B" w:rsidRDefault="00F22A0B" w:rsidP="009F5FCD">
      <w:pPr>
        <w:pStyle w:val="CGPC-elearning"/>
      </w:pPr>
      <w:r>
        <w:t xml:space="preserve">Il convient de noter que les frais de notaires, </w:t>
      </w:r>
      <w:r w:rsidR="00C96E76">
        <w:t xml:space="preserve">les </w:t>
      </w:r>
      <w:r>
        <w:t>coût</w:t>
      </w:r>
      <w:r w:rsidR="00C96E76">
        <w:t>s</w:t>
      </w:r>
      <w:r>
        <w:t xml:space="preserve"> d’emprunt et une proportion importante des travaux constituent </w:t>
      </w:r>
      <w:r w:rsidR="00C96E76">
        <w:t>des</w:t>
      </w:r>
      <w:r>
        <w:t xml:space="preserve"> charge « à perte ».</w:t>
      </w:r>
    </w:p>
    <w:p w14:paraId="0FE1F630" w14:textId="03992FC2" w:rsidR="00F22A0B" w:rsidRDefault="00F22A0B" w:rsidP="009F5FCD">
      <w:pPr>
        <w:pStyle w:val="CGPC-elearning"/>
      </w:pPr>
      <w:r>
        <w:t xml:space="preserve">Le fait que la plus-value </w:t>
      </w:r>
      <w:r w:rsidR="00C96E76">
        <w:t xml:space="preserve">réalisée sur la vente du logement </w:t>
      </w:r>
      <w:r>
        <w:t xml:space="preserve">soit exonérée </w:t>
      </w:r>
      <w:r w:rsidR="00C96E76">
        <w:t xml:space="preserve">(car relevant d’une résidence principale </w:t>
      </w:r>
      <w:r>
        <w:t>est un argument important, pour autant qu’il y ait une plus-value !</w:t>
      </w:r>
    </w:p>
    <w:p w14:paraId="19711A91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</w:p>
    <w:p w14:paraId="31A8E62C" w14:textId="77777777" w:rsidR="00C96E76" w:rsidRDefault="00C96E76" w:rsidP="009F5FCD">
      <w:pPr>
        <w:pStyle w:val="CGPC-elearning"/>
      </w:pPr>
      <w:r>
        <w:t>Les variables entrant en compte pour</w:t>
      </w:r>
      <w:r w:rsidR="00F22A0B">
        <w:t xml:space="preserve"> la location </w:t>
      </w:r>
      <w:r>
        <w:t xml:space="preserve">sont </w:t>
      </w:r>
      <w:r w:rsidR="00F22A0B">
        <w:t xml:space="preserve">: </w:t>
      </w:r>
    </w:p>
    <w:p w14:paraId="7A37B5ED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le </w:t>
      </w:r>
      <w:r w:rsidR="00F22A0B">
        <w:t xml:space="preserve">rapport charges/niveau des loyers versés, </w:t>
      </w:r>
    </w:p>
    <w:p w14:paraId="23F48CCA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  <w:r>
        <w:t>- l’</w:t>
      </w:r>
      <w:r w:rsidR="00F22A0B">
        <w:t xml:space="preserve">évolution dans le temps des loyers, </w:t>
      </w:r>
    </w:p>
    <w:p w14:paraId="6AAE386C" w14:textId="4E2BB7E9" w:rsidR="00F22A0B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le </w:t>
      </w:r>
      <w:r w:rsidR="00F22A0B">
        <w:t>placement des sommes que l’on aurait pu consacrer à l’apport personnel en cas d’achat, travaux d’embellissement.</w:t>
      </w:r>
    </w:p>
    <w:p w14:paraId="4474CD65" w14:textId="77777777" w:rsidR="00C96E76" w:rsidRDefault="00C96E76" w:rsidP="002777A7">
      <w:pPr>
        <w:pStyle w:val="CGPC-elearning"/>
        <w:numPr>
          <w:ilvl w:val="0"/>
          <w:numId w:val="0"/>
        </w:numPr>
        <w:ind w:left="720"/>
      </w:pPr>
    </w:p>
    <w:p w14:paraId="38B76EC9" w14:textId="7E3B4FE4" w:rsidR="00F22A0B" w:rsidRDefault="00F22A0B" w:rsidP="009F5FCD">
      <w:pPr>
        <w:pStyle w:val="CGPC-elearning"/>
      </w:pPr>
      <w:r>
        <w:t>En conclusion, la comparaison doit se faire entre :</w:t>
      </w:r>
    </w:p>
    <w:p w14:paraId="7021EFE8" w14:textId="34059562" w:rsidR="00F22A0B" w:rsidRDefault="00C96E76" w:rsidP="002777A7">
      <w:pPr>
        <w:pStyle w:val="CGPC-elearning"/>
        <w:numPr>
          <w:ilvl w:val="0"/>
          <w:numId w:val="0"/>
        </w:numPr>
        <w:ind w:left="720"/>
      </w:pPr>
      <w:r>
        <w:lastRenderedPageBreak/>
        <w:t>- « </w:t>
      </w:r>
      <w:r w:rsidR="00F22A0B">
        <w:t>le résultat de l</w:t>
      </w:r>
      <w:r>
        <w:t>’opération d</w:t>
      </w:r>
      <w:r w:rsidR="00F22A0B">
        <w:t>’achat</w:t>
      </w:r>
      <w:r>
        <w:t> »</w:t>
      </w:r>
      <w:r w:rsidR="00F22A0B">
        <w:t xml:space="preserve">, égal à la plus-value </w:t>
      </w:r>
      <w:r>
        <w:t xml:space="preserve">réalisée </w:t>
      </w:r>
      <w:r w:rsidR="00F22A0B">
        <w:t xml:space="preserve">en cas de revente </w:t>
      </w:r>
      <w:r>
        <w:t xml:space="preserve">du logement </w:t>
      </w:r>
      <w:r w:rsidR="00F22A0B">
        <w:t xml:space="preserve">(sans taxation) </w:t>
      </w:r>
      <w:r>
        <w:t xml:space="preserve">diminuée du </w:t>
      </w:r>
      <w:r w:rsidR="00F22A0B">
        <w:t xml:space="preserve">coût </w:t>
      </w:r>
      <w:r>
        <w:t xml:space="preserve">de l’opération </w:t>
      </w:r>
      <w:r w:rsidR="00F22A0B">
        <w:t>(frais notariés, frais emprunt, charges et travaux de propriétaire, taxe foncière) ;</w:t>
      </w:r>
    </w:p>
    <w:p w14:paraId="60FD7DC8" w14:textId="34BFB5DF" w:rsidR="007926FF" w:rsidRDefault="00C96E76" w:rsidP="002777A7">
      <w:pPr>
        <w:pStyle w:val="CGPC-elearning"/>
        <w:numPr>
          <w:ilvl w:val="0"/>
          <w:numId w:val="0"/>
        </w:numPr>
        <w:ind w:left="720"/>
      </w:pPr>
      <w:r>
        <w:t xml:space="preserve">- </w:t>
      </w:r>
      <w:r w:rsidR="00336595">
        <w:t>« </w:t>
      </w:r>
      <w:r w:rsidR="00F22A0B">
        <w:t>le résultat de l</w:t>
      </w:r>
      <w:r>
        <w:t>’opération de</w:t>
      </w:r>
      <w:r w:rsidR="00F22A0B">
        <w:t xml:space="preserve"> location</w:t>
      </w:r>
      <w:r w:rsidR="00336595">
        <w:t> »</w:t>
      </w:r>
      <w:r w:rsidR="00F22A0B">
        <w:t xml:space="preserve">, égal </w:t>
      </w:r>
      <w:r>
        <w:t xml:space="preserve">au </w:t>
      </w:r>
      <w:r w:rsidR="00A529F4">
        <w:t>« </w:t>
      </w:r>
      <w:r>
        <w:t xml:space="preserve">rapport </w:t>
      </w:r>
      <w:r w:rsidR="00F22A0B">
        <w:t>de la somme des loyers</w:t>
      </w:r>
      <w:r w:rsidR="00F90756">
        <w:t xml:space="preserve"> et charges si</w:t>
      </w:r>
      <w:r w:rsidR="00F22A0B">
        <w:t xml:space="preserve"> </w:t>
      </w:r>
      <w:r w:rsidR="00336595">
        <w:t xml:space="preserve">placés sur un </w:t>
      </w:r>
      <w:r w:rsidR="00A529F4">
        <w:t>support</w:t>
      </w:r>
      <w:r w:rsidR="00F90756">
        <w:t xml:space="preserve"> </w:t>
      </w:r>
      <w:r w:rsidR="00F22A0B">
        <w:t>diversifié</w:t>
      </w:r>
      <w:r w:rsidR="00A529F4">
        <w:t> »</w:t>
      </w:r>
      <w:r w:rsidR="00F22A0B">
        <w:t xml:space="preserve"> </w:t>
      </w:r>
      <w:r w:rsidR="00F90756">
        <w:t>diminuée du</w:t>
      </w:r>
      <w:r w:rsidR="00F22A0B">
        <w:t xml:space="preserve"> </w:t>
      </w:r>
      <w:r w:rsidR="00A529F4">
        <w:t>« </w:t>
      </w:r>
      <w:r w:rsidR="00F22A0B">
        <w:t>coût de la location</w:t>
      </w:r>
      <w:r w:rsidR="00F90756">
        <w:t xml:space="preserve"> (loyers et charges)</w:t>
      </w:r>
      <w:r w:rsidR="00F22A0B">
        <w:t>.</w:t>
      </w:r>
    </w:p>
    <w:p w14:paraId="39B0EBC7" w14:textId="77777777" w:rsidR="007926FF" w:rsidRDefault="007926FF" w:rsidP="009F5FCD">
      <w:pPr>
        <w:pStyle w:val="CGPC-elearning"/>
      </w:pPr>
      <w:r>
        <w:br w:type="page"/>
      </w:r>
    </w:p>
    <w:p w14:paraId="26FF8C8D" w14:textId="0FEBDAAD" w:rsidR="00F22A0B" w:rsidRDefault="0023200C" w:rsidP="002777A7">
      <w:pPr>
        <w:pStyle w:val="CGPC-elearning"/>
        <w:numPr>
          <w:ilvl w:val="0"/>
          <w:numId w:val="0"/>
        </w:numPr>
        <w:ind w:left="72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630C7AE" wp14:editId="565C0CFB">
                <wp:simplePos x="0" y="0"/>
                <wp:positionH relativeFrom="column">
                  <wp:posOffset>-902525</wp:posOffset>
                </wp:positionH>
                <wp:positionV relativeFrom="paragraph">
                  <wp:posOffset>-902525</wp:posOffset>
                </wp:positionV>
                <wp:extent cx="10759044" cy="7528956"/>
                <wp:effectExtent l="0" t="0" r="23495" b="15240"/>
                <wp:wrapNone/>
                <wp:docPr id="470503815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9044" cy="7528956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641985" id="Rectangle 12" o:spid="_x0000_s1026" style="position:absolute;margin-left:-71.05pt;margin-top:-71.05pt;width:847.15pt;height:592.8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" fillcolor="#2f5496 [2404]" strokecolor="#09101d [484]" strokeweight="1pt"/>
            </w:pict>
          </mc:Fallback>
        </mc:AlternateContent>
      </w:r>
    </w:p>
    <w:p w14:paraId="50C2EC0B" w14:textId="77777777" w:rsidR="00121DC1" w:rsidRDefault="00121DC1" w:rsidP="002777A7">
      <w:pPr>
        <w:pStyle w:val="CGPC-elearning"/>
        <w:numPr>
          <w:ilvl w:val="0"/>
          <w:numId w:val="0"/>
        </w:numPr>
        <w:ind w:left="720"/>
      </w:pPr>
    </w:p>
    <w:p w14:paraId="14EA84C9" w14:textId="77777777" w:rsidR="007926FF" w:rsidRDefault="007926FF" w:rsidP="002777A7">
      <w:pPr>
        <w:pStyle w:val="CGPC-elearning"/>
        <w:numPr>
          <w:ilvl w:val="0"/>
          <w:numId w:val="0"/>
        </w:numPr>
        <w:ind w:left="720"/>
      </w:pPr>
    </w:p>
    <w:p w14:paraId="63D100E1" w14:textId="77777777" w:rsidR="007926FF" w:rsidRDefault="007926FF" w:rsidP="002777A7">
      <w:pPr>
        <w:pStyle w:val="CGPC-elearning"/>
        <w:numPr>
          <w:ilvl w:val="0"/>
          <w:numId w:val="0"/>
        </w:numPr>
        <w:ind w:left="720"/>
      </w:pPr>
    </w:p>
    <w:p w14:paraId="146FA11E" w14:textId="77777777" w:rsidR="007926FF" w:rsidRDefault="007926FF" w:rsidP="002777A7">
      <w:pPr>
        <w:pStyle w:val="CGPC-elearning"/>
        <w:numPr>
          <w:ilvl w:val="0"/>
          <w:numId w:val="0"/>
        </w:numPr>
        <w:ind w:left="720"/>
      </w:pPr>
    </w:p>
    <w:p w14:paraId="7B82547A" w14:textId="77777777" w:rsidR="00B7208E" w:rsidRDefault="00B7208E" w:rsidP="002777A7">
      <w:pPr>
        <w:pStyle w:val="CGPC-elearning"/>
        <w:numPr>
          <w:ilvl w:val="0"/>
          <w:numId w:val="0"/>
        </w:numPr>
        <w:ind w:left="360"/>
      </w:pPr>
    </w:p>
    <w:p w14:paraId="77CF4E13" w14:textId="4433C4DE" w:rsidR="007926FF" w:rsidRDefault="00F22A0B" w:rsidP="009F5FCD">
      <w:pPr>
        <w:pStyle w:val="Titre2"/>
        <w:rPr>
          <w:rStyle w:val="lev"/>
          <w:b/>
          <w:bCs/>
          <w:sz w:val="45"/>
          <w:szCs w:val="45"/>
        </w:rPr>
      </w:pPr>
      <w:bookmarkStart w:id="3" w:name="_Toc220918407"/>
      <w:r>
        <w:rPr>
          <w:rStyle w:val="lev"/>
          <w:b/>
          <w:bCs/>
          <w:sz w:val="45"/>
          <w:szCs w:val="45"/>
        </w:rPr>
        <w:t>Investir en locatif dans le neuf versus dans l’ancien</w:t>
      </w:r>
      <w:bookmarkEnd w:id="3"/>
    </w:p>
    <w:p w14:paraId="08D00745" w14:textId="77777777" w:rsidR="007926FF" w:rsidRDefault="007926FF" w:rsidP="009F5FCD">
      <w:pPr>
        <w:pStyle w:val="CGPC-elearning"/>
        <w:rPr>
          <w:rStyle w:val="lev"/>
          <w:rFonts w:eastAsiaTheme="majorEastAsia"/>
          <w:color w:val="3A5D9C"/>
          <w:sz w:val="45"/>
          <w:szCs w:val="45"/>
          <w:bdr w:val="none" w:sz="0" w:space="0" w:color="auto" w:frame="1"/>
        </w:rPr>
      </w:pPr>
      <w:r>
        <w:rPr>
          <w:rStyle w:val="lev"/>
          <w:b w:val="0"/>
          <w:bCs/>
          <w:sz w:val="45"/>
          <w:szCs w:val="45"/>
        </w:rPr>
        <w:br w:type="page"/>
      </w:r>
    </w:p>
    <w:p w14:paraId="66F328BC" w14:textId="1D6F7F0B" w:rsidR="00F22A0B" w:rsidRDefault="00F22A0B" w:rsidP="00BB612F">
      <w:pPr>
        <w:shd w:val="clear" w:color="auto" w:fill="FFFFFF"/>
        <w:spacing w:line="0" w:lineRule="auto"/>
        <w:textAlignment w:val="baseline"/>
        <w:rPr>
          <w:rFonts w:cs="Open Sans"/>
          <w:color w:val="666666"/>
          <w:sz w:val="21"/>
          <w:szCs w:val="21"/>
        </w:rPr>
      </w:pPr>
      <w:r>
        <w:rPr>
          <w:rFonts w:cs="Open Sans"/>
          <w:noProof/>
          <w:color w:val="666666"/>
          <w:sz w:val="21"/>
          <w:szCs w:val="21"/>
          <w:bdr w:val="none" w:sz="0" w:space="0" w:color="auto" w:frame="1"/>
        </w:rPr>
        <w:lastRenderedPageBreak/>
        <w:drawing>
          <wp:inline distT="0" distB="0" distL="0" distR="0" wp14:anchorId="339E7484" wp14:editId="64398ABA">
            <wp:extent cx="8265226" cy="4372990"/>
            <wp:effectExtent l="533400" t="457200" r="802640" b="808990"/>
            <wp:docPr id="111079219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3847" cy="4382842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6DCA10" w14:textId="77777777" w:rsidR="00140292" w:rsidRDefault="00140292" w:rsidP="00140292">
      <w:pPr>
        <w:pStyle w:val="CGPC-elearning"/>
        <w:numPr>
          <w:ilvl w:val="0"/>
          <w:numId w:val="0"/>
        </w:numPr>
        <w:ind w:left="720" w:hanging="360"/>
      </w:pPr>
    </w:p>
    <w:p w14:paraId="196E9BA0" w14:textId="12A82A5C" w:rsidR="00F22A0B" w:rsidRDefault="00F22A0B" w:rsidP="009F5FCD">
      <w:pPr>
        <w:pStyle w:val="CGPC-elearning"/>
      </w:pPr>
      <w:r w:rsidRPr="008F02D5">
        <w:t>L’acquisition dans l’immobilier neuf permet de bénéficier :</w:t>
      </w:r>
    </w:p>
    <w:p w14:paraId="7EC1B35A" w14:textId="77777777" w:rsidR="00D62139" w:rsidRPr="008F02D5" w:rsidRDefault="00D62139" w:rsidP="00D62139">
      <w:pPr>
        <w:pStyle w:val="CGPC-elearning"/>
        <w:numPr>
          <w:ilvl w:val="0"/>
          <w:numId w:val="0"/>
        </w:numPr>
        <w:ind w:left="720"/>
      </w:pPr>
    </w:p>
    <w:p w14:paraId="43550F1C" w14:textId="6CE3C76A" w:rsidR="00F22A0B" w:rsidRDefault="00F22A0B" w:rsidP="009F5FCD">
      <w:pPr>
        <w:pStyle w:val="CGPC-elearning"/>
        <w:numPr>
          <w:ilvl w:val="0"/>
          <w:numId w:val="5"/>
        </w:numPr>
      </w:pPr>
      <w:r>
        <w:t>de la législation sur la vente en l’état futur d’achèvement (VEFA) (encadrement réglementaire et échelonnement du paiement) ;</w:t>
      </w:r>
    </w:p>
    <w:p w14:paraId="7422BAF1" w14:textId="77777777" w:rsidR="00D62139" w:rsidRDefault="00D62139" w:rsidP="00D62139">
      <w:pPr>
        <w:pStyle w:val="CGPC-elearning"/>
        <w:numPr>
          <w:ilvl w:val="0"/>
          <w:numId w:val="0"/>
        </w:numPr>
        <w:ind w:left="720"/>
      </w:pPr>
    </w:p>
    <w:p w14:paraId="313171AD" w14:textId="2F828436" w:rsidR="00F22A0B" w:rsidRDefault="00F22A0B" w:rsidP="009F5FCD">
      <w:pPr>
        <w:pStyle w:val="CGPC-elearning"/>
        <w:numPr>
          <w:ilvl w:val="0"/>
          <w:numId w:val="5"/>
        </w:numPr>
      </w:pPr>
      <w:r>
        <w:t>de frais d’acquisition réduits (notaire, dans certains cas de TVA à taux réduit) et d’une éventuelle exonération temporaire de taxe foncière ;</w:t>
      </w:r>
    </w:p>
    <w:p w14:paraId="5ADD5F36" w14:textId="77777777" w:rsidR="00D62139" w:rsidRDefault="00D62139" w:rsidP="00D62139">
      <w:pPr>
        <w:pStyle w:val="CGPC-elearning"/>
        <w:numPr>
          <w:ilvl w:val="0"/>
          <w:numId w:val="0"/>
        </w:numPr>
      </w:pPr>
    </w:p>
    <w:p w14:paraId="50E2BEC8" w14:textId="3D16DB57" w:rsidR="00F22A0B" w:rsidRDefault="00F22A0B" w:rsidP="009F5FCD">
      <w:pPr>
        <w:pStyle w:val="CGPC-elearning"/>
        <w:numPr>
          <w:ilvl w:val="0"/>
          <w:numId w:val="5"/>
        </w:numPr>
      </w:pPr>
      <w:r>
        <w:t>d’un logement répondant à tous les critères énergétiques ;</w:t>
      </w:r>
    </w:p>
    <w:p w14:paraId="69160C15" w14:textId="77777777" w:rsidR="0043526F" w:rsidRDefault="0043526F" w:rsidP="0043526F">
      <w:pPr>
        <w:pStyle w:val="CGPC-elearning"/>
        <w:numPr>
          <w:ilvl w:val="0"/>
          <w:numId w:val="0"/>
        </w:numPr>
      </w:pPr>
    </w:p>
    <w:p w14:paraId="25BDDCB1" w14:textId="30E97CA3" w:rsidR="00F22A0B" w:rsidRDefault="00F22A0B" w:rsidP="009F5FCD">
      <w:pPr>
        <w:pStyle w:val="CGPC-elearning"/>
        <w:numPr>
          <w:ilvl w:val="0"/>
          <w:numId w:val="5"/>
        </w:numPr>
      </w:pPr>
      <w:r>
        <w:t>de prêt à taux zéro (PTZ +, sous conditions) ou d’un prêt accession sociale (sous conditions) ;</w:t>
      </w:r>
    </w:p>
    <w:p w14:paraId="2475585B" w14:textId="77777777" w:rsidR="0043526F" w:rsidRDefault="0043526F" w:rsidP="0043526F">
      <w:pPr>
        <w:pStyle w:val="CGPC-elearning"/>
        <w:numPr>
          <w:ilvl w:val="0"/>
          <w:numId w:val="0"/>
        </w:numPr>
      </w:pPr>
    </w:p>
    <w:p w14:paraId="7FC84A90" w14:textId="085F3F80" w:rsidR="00CD7335" w:rsidRDefault="00F22A0B" w:rsidP="009F5FCD">
      <w:pPr>
        <w:pStyle w:val="CGPC-elearning"/>
        <w:numPr>
          <w:ilvl w:val="0"/>
          <w:numId w:val="5"/>
        </w:numPr>
      </w:pPr>
      <w:r>
        <w:t>de garanties sur la qualité des travaux en cas de dommages (parfait achèvement, biennale et décennale).</w:t>
      </w:r>
    </w:p>
    <w:p w14:paraId="4AF1D21E" w14:textId="77777777" w:rsidR="00CD7335" w:rsidRDefault="00CD7335" w:rsidP="009F5FCD">
      <w:pPr>
        <w:pStyle w:val="CGPC-elearning"/>
      </w:pPr>
      <w:r>
        <w:br w:type="page"/>
      </w:r>
    </w:p>
    <w:p w14:paraId="28E14D2B" w14:textId="1C9BE904" w:rsidR="00696258" w:rsidRDefault="0043526F" w:rsidP="00696258">
      <w:pPr>
        <w:pStyle w:val="CGPC-elearning"/>
        <w:numPr>
          <w:ilvl w:val="0"/>
          <w:numId w:val="0"/>
        </w:numPr>
        <w:ind w:left="72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261D35D" wp14:editId="6EE330CC">
                <wp:simplePos x="0" y="0"/>
                <wp:positionH relativeFrom="column">
                  <wp:posOffset>-902525</wp:posOffset>
                </wp:positionH>
                <wp:positionV relativeFrom="paragraph">
                  <wp:posOffset>-866898</wp:posOffset>
                </wp:positionV>
                <wp:extent cx="10663555" cy="8264954"/>
                <wp:effectExtent l="0" t="0" r="23495" b="22225"/>
                <wp:wrapNone/>
                <wp:docPr id="94224228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3555" cy="826495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6E9192" w14:textId="77777777" w:rsidR="00696258" w:rsidRDefault="00696258" w:rsidP="00696258">
                            <w:pPr>
                              <w:jc w:val="center"/>
                            </w:pPr>
                          </w:p>
                          <w:p w14:paraId="60877058" w14:textId="16D08391" w:rsidR="00696258" w:rsidRPr="00696258" w:rsidRDefault="001C1987" w:rsidP="00696258">
                            <w:pPr>
                              <w:pStyle w:val="CGPC-elearning"/>
                              <w:numPr>
                                <w:ilvl w:val="0"/>
                                <w:numId w:val="0"/>
                              </w:numPr>
                              <w:ind w:left="720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61D35D" id="Rectangle 13" o:spid="_x0000_s1027" style="position:absolute;left:0;text-align:left;margin-left:-71.05pt;margin-top:-68.25pt;width:839.65pt;height:650.8pt;z-index:-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" fillcolor="#2f5496 [2404]" strokecolor="#09101d [484]" strokeweight="1pt">
                <v:textbox>
                  <w:txbxContent>
                    <w:p w14:paraId="166E9192" w14:textId="77777777" w:rsidR="00696258" w:rsidRDefault="00696258" w:rsidP="00696258">
                      <w:pPr>
                        <w:jc w:val="center"/>
                      </w:pPr>
                    </w:p>
                    <w:p w14:paraId="60877058" w14:textId="16D08391" w:rsidR="00696258" w:rsidRPr="00696258" w:rsidRDefault="001C1987" w:rsidP="00696258">
                      <w:pPr>
                        <w:pStyle w:val="CGPC-elearning"/>
                        <w:numPr>
                          <w:ilvl w:val="0"/>
                          <w:numId w:val="0"/>
                        </w:numPr>
                        <w:ind w:left="720"/>
                      </w:pPr>
                      <w: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2A9D729E" w14:textId="77777777" w:rsidR="00696258" w:rsidRDefault="00696258" w:rsidP="00696258">
      <w:pPr>
        <w:pStyle w:val="CGPC-elearning"/>
        <w:numPr>
          <w:ilvl w:val="0"/>
          <w:numId w:val="0"/>
        </w:numPr>
        <w:ind w:left="720"/>
      </w:pPr>
    </w:p>
    <w:p w14:paraId="05DA091F" w14:textId="6385BC76" w:rsidR="00F22A0B" w:rsidRDefault="00F22A0B" w:rsidP="00696258">
      <w:pPr>
        <w:pStyle w:val="CGPC-elearning"/>
        <w:numPr>
          <w:ilvl w:val="0"/>
          <w:numId w:val="0"/>
        </w:numPr>
        <w:ind w:left="720"/>
      </w:pPr>
    </w:p>
    <w:p w14:paraId="618CC203" w14:textId="77777777" w:rsidR="00B7208E" w:rsidRDefault="00B7208E" w:rsidP="00696258">
      <w:pPr>
        <w:pStyle w:val="CGPC-elearning"/>
        <w:numPr>
          <w:ilvl w:val="0"/>
          <w:numId w:val="0"/>
        </w:numPr>
        <w:ind w:left="720"/>
      </w:pPr>
    </w:p>
    <w:p w14:paraId="5486016B" w14:textId="77777777" w:rsidR="00B916C2" w:rsidRDefault="00B916C2" w:rsidP="00696258">
      <w:pPr>
        <w:pStyle w:val="CGPC-elearning"/>
        <w:numPr>
          <w:ilvl w:val="0"/>
          <w:numId w:val="0"/>
        </w:numPr>
        <w:ind w:left="720"/>
      </w:pPr>
    </w:p>
    <w:p w14:paraId="4C537630" w14:textId="77777777" w:rsidR="00B916C2" w:rsidRDefault="00B916C2" w:rsidP="00696258">
      <w:pPr>
        <w:pStyle w:val="CGPC-elearning"/>
        <w:numPr>
          <w:ilvl w:val="0"/>
          <w:numId w:val="0"/>
        </w:numPr>
        <w:ind w:left="720"/>
      </w:pPr>
    </w:p>
    <w:p w14:paraId="0408538B" w14:textId="77777777" w:rsidR="00B916C2" w:rsidRDefault="00B916C2" w:rsidP="00696258">
      <w:pPr>
        <w:pStyle w:val="CGPC-elearning"/>
        <w:numPr>
          <w:ilvl w:val="0"/>
          <w:numId w:val="0"/>
        </w:numPr>
        <w:ind w:left="720"/>
      </w:pPr>
    </w:p>
    <w:p w14:paraId="7DB272C0" w14:textId="77777777" w:rsidR="00CD7335" w:rsidRDefault="00CD7335" w:rsidP="00696258">
      <w:pPr>
        <w:pStyle w:val="CGPC-elearning"/>
        <w:numPr>
          <w:ilvl w:val="0"/>
          <w:numId w:val="0"/>
        </w:numPr>
        <w:ind w:left="720"/>
      </w:pPr>
    </w:p>
    <w:p w14:paraId="78BDD11E" w14:textId="77777777" w:rsidR="00CD7335" w:rsidRDefault="00CD7335" w:rsidP="00696258">
      <w:pPr>
        <w:pStyle w:val="CGPC-elearning"/>
        <w:numPr>
          <w:ilvl w:val="0"/>
          <w:numId w:val="0"/>
        </w:numPr>
        <w:ind w:left="720"/>
      </w:pPr>
    </w:p>
    <w:p w14:paraId="41E17577" w14:textId="14890059" w:rsidR="00CD7335" w:rsidRDefault="00A529F4" w:rsidP="009F5FCD">
      <w:pPr>
        <w:pStyle w:val="Titre2"/>
        <w:rPr>
          <w:rStyle w:val="lev"/>
          <w:b/>
          <w:bCs/>
          <w:sz w:val="45"/>
          <w:szCs w:val="45"/>
        </w:rPr>
      </w:pPr>
      <w:bookmarkStart w:id="4" w:name="_Toc220918408"/>
      <w:r>
        <w:rPr>
          <w:rStyle w:val="lev"/>
          <w:b/>
          <w:bCs/>
          <w:sz w:val="45"/>
          <w:szCs w:val="45"/>
        </w:rPr>
        <w:t>Louer</w:t>
      </w:r>
      <w:r w:rsidR="00F22A0B">
        <w:rPr>
          <w:rStyle w:val="lev"/>
          <w:b/>
          <w:bCs/>
          <w:sz w:val="45"/>
          <w:szCs w:val="45"/>
        </w:rPr>
        <w:t xml:space="preserve"> </w:t>
      </w:r>
      <w:r>
        <w:rPr>
          <w:rStyle w:val="lev"/>
          <w:b/>
          <w:bCs/>
          <w:sz w:val="45"/>
          <w:szCs w:val="45"/>
        </w:rPr>
        <w:t xml:space="preserve">en </w:t>
      </w:r>
      <w:r w:rsidR="00F22A0B">
        <w:rPr>
          <w:rStyle w:val="lev"/>
          <w:b/>
          <w:bCs/>
          <w:sz w:val="45"/>
          <w:szCs w:val="45"/>
        </w:rPr>
        <w:t>meublé plutôt que vide</w:t>
      </w:r>
      <w:r>
        <w:rPr>
          <w:rStyle w:val="lev"/>
          <w:b/>
          <w:bCs/>
          <w:sz w:val="45"/>
          <w:szCs w:val="45"/>
        </w:rPr>
        <w:t xml:space="preserve"> (« nu »)</w:t>
      </w:r>
      <w:bookmarkEnd w:id="4"/>
    </w:p>
    <w:p w14:paraId="66DF1D70" w14:textId="77777777" w:rsidR="00CD7335" w:rsidRDefault="00CD7335" w:rsidP="009F5FCD">
      <w:pPr>
        <w:pStyle w:val="CGPC-elearning"/>
        <w:rPr>
          <w:rStyle w:val="lev"/>
          <w:rFonts w:eastAsiaTheme="majorEastAsia"/>
          <w:color w:val="3A5D9C"/>
          <w:sz w:val="45"/>
          <w:szCs w:val="45"/>
          <w:bdr w:val="none" w:sz="0" w:space="0" w:color="auto" w:frame="1"/>
        </w:rPr>
      </w:pPr>
      <w:r>
        <w:rPr>
          <w:rStyle w:val="lev"/>
          <w:b w:val="0"/>
          <w:bCs/>
          <w:sz w:val="45"/>
          <w:szCs w:val="45"/>
        </w:rPr>
        <w:br w:type="page"/>
      </w:r>
    </w:p>
    <w:p w14:paraId="01643984" w14:textId="190BCC0A" w:rsidR="00F22A0B" w:rsidRDefault="00F22A0B" w:rsidP="00CD7335">
      <w:pPr>
        <w:pStyle w:val="NormalWeb"/>
        <w:spacing w:before="0" w:beforeAutospacing="0" w:after="0" w:afterAutospacing="0"/>
        <w:textAlignment w:val="baseline"/>
        <w:rPr>
          <w:rFonts w:ascii="Open Sans" w:hAnsi="Open Sans" w:cs="Open Sans"/>
          <w:color w:val="666666"/>
          <w:sz w:val="21"/>
          <w:szCs w:val="21"/>
        </w:rPr>
      </w:pPr>
      <w:r>
        <w:rPr>
          <w:rFonts w:ascii="Open Sans" w:hAnsi="Open Sans" w:cs="Open Sans"/>
          <w:noProof/>
          <w:color w:val="666666"/>
          <w:sz w:val="21"/>
          <w:szCs w:val="21"/>
        </w:rPr>
        <w:lastRenderedPageBreak/>
        <w:drawing>
          <wp:inline distT="0" distB="0" distL="0" distR="0" wp14:anchorId="60E8B622" wp14:editId="3EF93541">
            <wp:extent cx="7612083" cy="5072805"/>
            <wp:effectExtent l="533400" t="457200" r="808355" b="795020"/>
            <wp:docPr id="135897031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104" cy="5078150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FF23EA" w14:textId="490D8904" w:rsidR="00F22A0B" w:rsidRPr="00A529F4" w:rsidRDefault="00F22A0B" w:rsidP="009F5FCD">
      <w:pPr>
        <w:pStyle w:val="Titre3"/>
        <w:numPr>
          <w:ilvl w:val="0"/>
          <w:numId w:val="4"/>
        </w:numPr>
      </w:pPr>
      <w:bookmarkStart w:id="5" w:name="_Toc220918409"/>
      <w:r w:rsidRPr="009F5FCD">
        <w:rPr>
          <w:rStyle w:val="lev"/>
          <w:b/>
          <w:bCs/>
        </w:rPr>
        <w:lastRenderedPageBreak/>
        <w:t xml:space="preserve">Équipement du logement </w:t>
      </w:r>
      <w:r w:rsidR="00A529F4" w:rsidRPr="009F5FCD">
        <w:rPr>
          <w:rStyle w:val="lev"/>
          <w:b/>
          <w:bCs/>
        </w:rPr>
        <w:t xml:space="preserve">loué </w:t>
      </w:r>
      <w:r w:rsidRPr="009F5FCD">
        <w:rPr>
          <w:rStyle w:val="lev"/>
          <w:b/>
          <w:bCs/>
        </w:rPr>
        <w:t>meublé</w:t>
      </w:r>
      <w:bookmarkEnd w:id="5"/>
    </w:p>
    <w:p w14:paraId="6311B33B" w14:textId="77777777" w:rsidR="00F22A0B" w:rsidRPr="005941FD" w:rsidRDefault="00F22A0B" w:rsidP="009F5FCD">
      <w:pPr>
        <w:pStyle w:val="CGPC-elearning"/>
      </w:pPr>
      <w:r w:rsidRPr="005941FD">
        <w:t>Tout investisseur qui achète des biens immobiliers à usage d’habitation et les met en location après les avoir équipés et meublés est considéré comme loueur en meublé.</w:t>
      </w:r>
    </w:p>
    <w:p w14:paraId="3915C11D" w14:textId="77777777" w:rsidR="00F22A0B" w:rsidRPr="005941FD" w:rsidRDefault="00F22A0B" w:rsidP="009F5FCD">
      <w:pPr>
        <w:pStyle w:val="CGPC-elearning"/>
      </w:pPr>
      <w:r w:rsidRPr="005941FD">
        <w:t>Depuis le 1er septembre 2015, certains éléments de mobiliers doivent impérativement équiper le logement meublé. Il s’agit notamment :</w:t>
      </w:r>
    </w:p>
    <w:p w14:paraId="129E57D8" w14:textId="5F99002D" w:rsidR="00F22A0B" w:rsidRPr="005941FD" w:rsidRDefault="00F22A0B" w:rsidP="009F5FCD">
      <w:pPr>
        <w:pStyle w:val="CGPC-elearning"/>
      </w:pPr>
      <w:r w:rsidRPr="005941FD">
        <w:t>de la literie comprenant couette ou couverture ;</w:t>
      </w:r>
    </w:p>
    <w:p w14:paraId="5F9CB8EE" w14:textId="62EF891E" w:rsidR="00F22A0B" w:rsidRPr="005941FD" w:rsidRDefault="00F22A0B" w:rsidP="009F5FCD">
      <w:pPr>
        <w:pStyle w:val="CGPC-elearning"/>
      </w:pPr>
      <w:r w:rsidRPr="005941FD">
        <w:t>de plaques de cuisson ;</w:t>
      </w:r>
    </w:p>
    <w:p w14:paraId="1A6F7CE5" w14:textId="1A6C3C63" w:rsidR="00F22A0B" w:rsidRPr="005941FD" w:rsidRDefault="00F22A0B" w:rsidP="009F5FCD">
      <w:pPr>
        <w:pStyle w:val="CGPC-elearning"/>
      </w:pPr>
      <w:r w:rsidRPr="005941FD">
        <w:t>d’un four ou four à micro-ondes ;</w:t>
      </w:r>
    </w:p>
    <w:p w14:paraId="42172F63" w14:textId="45555870" w:rsidR="00F22A0B" w:rsidRPr="005941FD" w:rsidRDefault="00F22A0B" w:rsidP="009F5FCD">
      <w:pPr>
        <w:pStyle w:val="CGPC-elearning"/>
      </w:pPr>
      <w:r w:rsidRPr="005941FD">
        <w:t>d’un réfrigérateur et d’un congélateur ;</w:t>
      </w:r>
    </w:p>
    <w:p w14:paraId="0E81CCC6" w14:textId="762E9C8C" w:rsidR="00F22A0B" w:rsidRPr="005941FD" w:rsidRDefault="00F22A0B" w:rsidP="009F5FCD">
      <w:pPr>
        <w:pStyle w:val="CGPC-elearning"/>
      </w:pPr>
      <w:r w:rsidRPr="005941FD">
        <w:t>de la vaisselle pour les repas ;</w:t>
      </w:r>
    </w:p>
    <w:p w14:paraId="2499794F" w14:textId="75389B38" w:rsidR="00F22A0B" w:rsidRPr="005941FD" w:rsidRDefault="00F22A0B" w:rsidP="009F5FCD">
      <w:pPr>
        <w:pStyle w:val="CGPC-elearning"/>
      </w:pPr>
      <w:r w:rsidRPr="005941FD">
        <w:t>des ustensiles de cuisine ;</w:t>
      </w:r>
    </w:p>
    <w:p w14:paraId="2ECF9A13" w14:textId="17A7B6FF" w:rsidR="00F22A0B" w:rsidRPr="005941FD" w:rsidRDefault="00F22A0B" w:rsidP="009F5FCD">
      <w:pPr>
        <w:pStyle w:val="CGPC-elearning"/>
      </w:pPr>
      <w:r w:rsidRPr="005941FD">
        <w:t>des table et sièges ;</w:t>
      </w:r>
    </w:p>
    <w:p w14:paraId="6D56A497" w14:textId="18240DA9" w:rsidR="00F22A0B" w:rsidRPr="005941FD" w:rsidRDefault="00F22A0B" w:rsidP="009F5FCD">
      <w:pPr>
        <w:pStyle w:val="CGPC-elearning"/>
      </w:pPr>
      <w:r w:rsidRPr="005941FD">
        <w:t>des étagères de rangement ;</w:t>
      </w:r>
    </w:p>
    <w:p w14:paraId="722E9338" w14:textId="3A2CC8A3" w:rsidR="00A529F4" w:rsidRDefault="00F22A0B" w:rsidP="009F5FCD">
      <w:pPr>
        <w:pStyle w:val="CGPC-elearning"/>
      </w:pPr>
      <w:r w:rsidRPr="005941FD">
        <w:t>des luminaires</w:t>
      </w:r>
      <w:r w:rsidR="00A529F4">
        <w:t>.</w:t>
      </w:r>
    </w:p>
    <w:p w14:paraId="01114D0F" w14:textId="77777777" w:rsidR="00A529F4" w:rsidRDefault="00A529F4" w:rsidP="009F5FCD">
      <w:pPr>
        <w:pStyle w:val="CGPC-elearning"/>
      </w:pPr>
    </w:p>
    <w:p w14:paraId="539442E8" w14:textId="1CBC5890" w:rsidR="00F22A0B" w:rsidRPr="00A529F4" w:rsidRDefault="00F22A0B" w:rsidP="009F5FCD">
      <w:pPr>
        <w:pStyle w:val="Titre3"/>
      </w:pPr>
      <w:bookmarkStart w:id="6" w:name="_Toc220918410"/>
      <w:r w:rsidRPr="00A529F4">
        <w:lastRenderedPageBreak/>
        <w:t>Régime fiscal</w:t>
      </w:r>
      <w:r w:rsidR="00A529F4">
        <w:t xml:space="preserve"> du logement loué meublé</w:t>
      </w:r>
      <w:bookmarkEnd w:id="6"/>
    </w:p>
    <w:p w14:paraId="79D79113" w14:textId="77777777" w:rsidR="00F22A0B" w:rsidRPr="005941FD" w:rsidRDefault="00F22A0B" w:rsidP="009F5FCD">
      <w:pPr>
        <w:pStyle w:val="CGPC-elearning"/>
      </w:pPr>
      <w:r w:rsidRPr="005941FD">
        <w:t>Il existe deux statuts fiscaux du loueur en meublé : le loueur en meublé professionnel (LMP) et le loueur en meublé non professionnel (LMNP). Seul est développé ici le LMP.</w:t>
      </w:r>
    </w:p>
    <w:p w14:paraId="5DE57B17" w14:textId="77777777" w:rsidR="00F22A0B" w:rsidRPr="005941FD" w:rsidRDefault="00F22A0B" w:rsidP="009F5FCD">
      <w:pPr>
        <w:pStyle w:val="CGPC-elearning"/>
      </w:pPr>
      <w:r w:rsidRPr="005941FD">
        <w:t>Pour bénéficier du statut de LMP, le loueur doit respecter deux conditions :</w:t>
      </w:r>
    </w:p>
    <w:p w14:paraId="47AFFE7E" w14:textId="341E959F" w:rsidR="00F22A0B" w:rsidRPr="005941FD" w:rsidRDefault="00A529F4" w:rsidP="009F5FCD">
      <w:pPr>
        <w:pStyle w:val="CGPC-elearning"/>
      </w:pPr>
      <w:r>
        <w:t xml:space="preserve">- </w:t>
      </w:r>
      <w:r w:rsidR="00F22A0B" w:rsidRPr="005941FD">
        <w:t>réaliser plus de 23 000 euros de recettes locatives annuelles ;</w:t>
      </w:r>
    </w:p>
    <w:p w14:paraId="739CE7BD" w14:textId="0241A899" w:rsidR="003F2B3C" w:rsidRDefault="00A529F4" w:rsidP="009F5FCD">
      <w:pPr>
        <w:pStyle w:val="CGPC-elearning"/>
      </w:pPr>
      <w:r>
        <w:t xml:space="preserve">- </w:t>
      </w:r>
      <w:r w:rsidR="00F22A0B" w:rsidRPr="005941FD">
        <w:t xml:space="preserve">retirer </w:t>
      </w:r>
      <w:r w:rsidR="00BB398C" w:rsidRPr="005941FD">
        <w:t xml:space="preserve">de la location en meublé professionnelle </w:t>
      </w:r>
      <w:r w:rsidR="00F22A0B" w:rsidRPr="005941FD">
        <w:t>des recettes supérieures aux revenus d’activité du foyer ;</w:t>
      </w:r>
    </w:p>
    <w:p w14:paraId="43BFB7EA" w14:textId="2A9369B7" w:rsidR="00A529F4" w:rsidRDefault="00000000" w:rsidP="009F5FCD">
      <w:pPr>
        <w:pStyle w:val="CGPC-elearning"/>
      </w:pPr>
      <w:r>
        <w:pict w14:anchorId="6EE970CB">
          <v:shape id="_x0000_i1026" type="#_x0000_t75" style="width:16.9pt;height:16.9pt;visibility:visible;mso-wrap-style:square">
            <v:imagedata r:id="rId14" o:title=""/>
          </v:shape>
        </w:pict>
      </w:r>
      <w:r w:rsidR="00736EAA">
        <w:t xml:space="preserve"> </w:t>
      </w:r>
      <w:r w:rsidR="00F22A0B" w:rsidRPr="005941FD">
        <w:t>Avant le 9 février 2018, une troisième condition était exigée : l’inscription au RCS (Registre du Commerce et des Sociétés). Le Conseil constitutionnel a jugé cette condition inconstitutionnelle. En effet, seules peuvent être inscrites au RCS les personnes physiques ayant la qualité de commerçant, laquelle est conférée à celles qui réalisent des actes de commerce. Or, l’activité de location meublée ne constitue pas un tel acte. La déclaration d’inconstitutionnalité a pris effet au 9 février 2018. Elle est applicable à toutes les affaires non jugées définitivement à cette date.</w:t>
      </w:r>
      <w:r w:rsidR="00F20DA2">
        <w:br/>
      </w:r>
    </w:p>
    <w:p w14:paraId="2C2FFC80" w14:textId="5D8E4085" w:rsidR="00F22A0B" w:rsidRPr="005941FD" w:rsidRDefault="00F22A0B" w:rsidP="009F5FCD">
      <w:pPr>
        <w:pStyle w:val="CGPC-elearning"/>
      </w:pPr>
      <w:r w:rsidRPr="005941FD">
        <w:t xml:space="preserve">Le loueur non professionnel est celui qui ne respecte pas l’une des deux premières conditions. </w:t>
      </w:r>
      <w:r w:rsidR="00A529F4">
        <w:br/>
      </w:r>
      <w:r w:rsidRPr="005941FD">
        <w:t xml:space="preserve">Sur le plan fiscal, les déficits constatés par les loueurs non professionnels (sauf micro-entreprise) ne sont imputables que sur les bénéfices de même nature réalisés au cours de la même année et des dix années suivantes. Les plus-values et moins-values réalisées par les loueurs non professionnels </w:t>
      </w:r>
      <w:r w:rsidRPr="005941FD">
        <w:lastRenderedPageBreak/>
        <w:t>relèvent du régime des plus-values immobilières privées (notamment, en cas de mutation à titre gratuit, la plus-value n’est pas imposable).</w:t>
      </w:r>
    </w:p>
    <w:p w14:paraId="47F684C1" w14:textId="77777777" w:rsidR="00F22A0B" w:rsidRPr="005941FD" w:rsidRDefault="00F22A0B" w:rsidP="009F5FCD">
      <w:pPr>
        <w:pStyle w:val="CGPC-elearning"/>
      </w:pPr>
      <w:r w:rsidRPr="005941FD">
        <w:t>Le loueur professionnel peut exercer en son nom personnel ou créer une société de type EURL ou SARL de famille.</w:t>
      </w:r>
    </w:p>
    <w:p w14:paraId="574FBA2D" w14:textId="77777777" w:rsidR="00F22A0B" w:rsidRDefault="00F22A0B" w:rsidP="009F5FCD">
      <w:pPr>
        <w:pStyle w:val="CGPC-elearning"/>
      </w:pPr>
      <w:r w:rsidRPr="005941FD">
        <w:t>La date de déclaration de début d’activité est particulièrement importante dans la mesure où le montant des recettes locatives de l’année s’apprécie à compter de la date de début d’activité et non à compter de la date de conclusion des baux.</w:t>
      </w:r>
    </w:p>
    <w:p w14:paraId="6961B26E" w14:textId="77777777" w:rsidR="00A529F4" w:rsidRPr="005941FD" w:rsidRDefault="00A529F4" w:rsidP="009F5FCD">
      <w:pPr>
        <w:pStyle w:val="CGPC-elearning"/>
      </w:pPr>
    </w:p>
    <w:p w14:paraId="28A636ED" w14:textId="77777777" w:rsidR="00F22A0B" w:rsidRPr="00A529F4" w:rsidRDefault="00F22A0B" w:rsidP="009F5FCD">
      <w:pPr>
        <w:pStyle w:val="Titre3"/>
      </w:pPr>
      <w:bookmarkStart w:id="7" w:name="_Toc220918411"/>
      <w:r w:rsidRPr="00A529F4">
        <w:t>Régime commun aux loueurs en meublé professionnels ou non</w:t>
      </w:r>
      <w:bookmarkEnd w:id="7"/>
    </w:p>
    <w:p w14:paraId="0B95EF21" w14:textId="77777777" w:rsidR="00F22A0B" w:rsidRPr="005941FD" w:rsidRDefault="00F22A0B" w:rsidP="009F5FCD">
      <w:pPr>
        <w:pStyle w:val="CGPC-elearning"/>
      </w:pPr>
      <w:r w:rsidRPr="005941FD">
        <w:t>Les loueurs en meublé, qu’ils soient </w:t>
      </w:r>
      <w:r w:rsidRPr="005941FD">
        <w:rPr>
          <w:rStyle w:val="lev"/>
          <w:b w:val="0"/>
          <w:bCs/>
        </w:rPr>
        <w:t>professionnels ou non</w:t>
      </w:r>
      <w:r w:rsidRPr="005941FD">
        <w:t>, sont imposés aux bénéfices industriels et commerciaux (</w:t>
      </w:r>
      <w:r w:rsidRPr="005941FD">
        <w:rPr>
          <w:rStyle w:val="lev"/>
          <w:b w:val="0"/>
          <w:bCs/>
        </w:rPr>
        <w:t>BIC</w:t>
      </w:r>
      <w:r w:rsidRPr="005941FD">
        <w:t>).</w:t>
      </w:r>
    </w:p>
    <w:p w14:paraId="78A21AE5" w14:textId="77777777" w:rsidR="00A529F4" w:rsidRDefault="00F22A0B" w:rsidP="009F5FCD">
      <w:pPr>
        <w:pStyle w:val="CGPC-elearning"/>
      </w:pPr>
      <w:r w:rsidRPr="005941FD">
        <w:t>Lorsque ces loueurs bénéficient du régime de la franchise en base de TVA et que leur chiffre d’affaires, ajusté au prorata du temps d’exploitation, est inférieur à 77 700 € (location classique) ou 188 700 € (gites, meublés de tourisme, chambres d’hôtes), ils bénéficient du </w:t>
      </w:r>
      <w:r w:rsidRPr="005941FD">
        <w:rPr>
          <w:rStyle w:val="lev"/>
          <w:b w:val="0"/>
          <w:bCs/>
        </w:rPr>
        <w:t>régime micro-BIC</w:t>
      </w:r>
      <w:r w:rsidRPr="005941FD">
        <w:t>. Leur revenu imposable est alors déterminé après un abattement de 50 % ou de 71 % pour les gites, meublés de tourisme et chambres d’hôtes.</w:t>
      </w:r>
    </w:p>
    <w:p w14:paraId="49EDA0E8" w14:textId="77777777" w:rsidR="00A529F4" w:rsidRDefault="00A529F4" w:rsidP="00D311A6">
      <w:pPr>
        <w:pStyle w:val="CGPC-elearning"/>
        <w:numPr>
          <w:ilvl w:val="0"/>
          <w:numId w:val="0"/>
        </w:numPr>
        <w:ind w:left="720"/>
      </w:pPr>
    </w:p>
    <w:p w14:paraId="289ED102" w14:textId="7CAFA035" w:rsidR="00F22A0B" w:rsidRPr="005941FD" w:rsidRDefault="00F22A0B" w:rsidP="009F5FCD">
      <w:pPr>
        <w:pStyle w:val="CGPC-elearning"/>
      </w:pPr>
      <w:r w:rsidRPr="005941FD">
        <w:rPr>
          <w:noProof/>
        </w:rPr>
        <w:lastRenderedPageBreak/>
        <w:drawing>
          <wp:inline distT="0" distB="0" distL="0" distR="0" wp14:anchorId="5AA02073" wp14:editId="7D288EAD">
            <wp:extent cx="204470" cy="204470"/>
            <wp:effectExtent l="0" t="0" r="5080" b="5080"/>
            <wp:docPr id="109505696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41FD">
        <w:rPr>
          <w:rStyle w:val="lev"/>
          <w:b w:val="0"/>
          <w:bCs/>
        </w:rPr>
        <w:t> Attention</w:t>
      </w:r>
      <w:r w:rsidRPr="005941FD">
        <w:t> : la classification en gite rural, meublé de tourisme ou en chambres d’hôtes dépend du respect de certains critères.</w:t>
      </w:r>
    </w:p>
    <w:p w14:paraId="678A3CAC" w14:textId="77777777" w:rsidR="00A529F4" w:rsidRDefault="00A529F4" w:rsidP="00D311A6">
      <w:pPr>
        <w:pStyle w:val="CGPC-elearning"/>
        <w:numPr>
          <w:ilvl w:val="0"/>
          <w:numId w:val="0"/>
        </w:numPr>
        <w:ind w:left="720"/>
        <w:rPr>
          <w:rStyle w:val="lev"/>
          <w:b w:val="0"/>
          <w:bCs/>
        </w:rPr>
      </w:pPr>
    </w:p>
    <w:p w14:paraId="6FC5149D" w14:textId="3C42BE45" w:rsidR="00F22A0B" w:rsidRPr="00A529F4" w:rsidRDefault="00F22A0B" w:rsidP="009F5FCD">
      <w:pPr>
        <w:pStyle w:val="Titre3"/>
      </w:pPr>
      <w:bookmarkStart w:id="8" w:name="_Toc220918412"/>
      <w:r w:rsidRPr="00A529F4">
        <w:t>Spécificité liée au statut de loueur en meublé professionnel</w:t>
      </w:r>
      <w:bookmarkEnd w:id="8"/>
    </w:p>
    <w:p w14:paraId="76B4B189" w14:textId="35745AAF" w:rsidR="00F22A0B" w:rsidRPr="005941FD" w:rsidRDefault="00F22A0B" w:rsidP="009F5FCD">
      <w:pPr>
        <w:pStyle w:val="CGPC-elearning"/>
      </w:pPr>
      <w:r w:rsidRPr="005941FD">
        <w:t>Le LMP peut, en sa qualité de professionnel et contrairement au LMNP, imputer, sur son revenu global, </w:t>
      </w:r>
      <w:r w:rsidRPr="005941FD">
        <w:rPr>
          <w:rStyle w:val="lev"/>
          <w:b w:val="0"/>
          <w:bCs/>
        </w:rPr>
        <w:t>l’intégralité des déficits </w:t>
      </w:r>
      <w:r w:rsidRPr="005941FD">
        <w:t>subis au titre de son activité (le LMNP ne peut les imputer que sur ses bénéfices de même nature).</w:t>
      </w:r>
      <w:r w:rsidR="00A529F4">
        <w:br/>
      </w:r>
    </w:p>
    <w:p w14:paraId="0D0BC132" w14:textId="77777777" w:rsidR="00F22A0B" w:rsidRPr="00A529F4" w:rsidRDefault="00F22A0B" w:rsidP="009F5FCD">
      <w:pPr>
        <w:pStyle w:val="Titre4"/>
      </w:pPr>
      <w:r w:rsidRPr="00A529F4">
        <w:t>Plus-values de cession</w:t>
      </w:r>
    </w:p>
    <w:p w14:paraId="16FF4859" w14:textId="77777777" w:rsidR="00F22A0B" w:rsidRPr="005941FD" w:rsidRDefault="00F22A0B" w:rsidP="009F5FCD">
      <w:pPr>
        <w:pStyle w:val="CGPC-elearning"/>
      </w:pPr>
      <w:r w:rsidRPr="005941FD">
        <w:t>Les LMP bénéficient d’une exonération totale d’impôt au titre des plus-values réalisées lors de la revente des biens, si le loueur exerce son activité depuis au moins 5 ans et que le montant des recettes annuelles n’excède pas 90 000 €.</w:t>
      </w:r>
    </w:p>
    <w:p w14:paraId="5A87461D" w14:textId="4BC7ACD6" w:rsidR="00F22A0B" w:rsidRPr="005941FD" w:rsidRDefault="00F22A0B" w:rsidP="009F5FCD">
      <w:pPr>
        <w:pStyle w:val="CGPC-elearning"/>
      </w:pPr>
      <w:r w:rsidRPr="005941FD">
        <w:t>Une exonération partielle est accordée si les recettes annuelles sont comprises entre 90 000 € et 126 000 €. Le montant de plus-value restant imposable est soumis au régime des plus-values professionnelles.</w:t>
      </w:r>
      <w:r w:rsidR="00A529F4">
        <w:br/>
      </w:r>
    </w:p>
    <w:p w14:paraId="1299A0D4" w14:textId="77777777" w:rsidR="00F22A0B" w:rsidRPr="00A529F4" w:rsidRDefault="00F22A0B" w:rsidP="009F5FCD">
      <w:pPr>
        <w:pStyle w:val="Titre4"/>
      </w:pPr>
      <w:r w:rsidRPr="00A529F4">
        <w:lastRenderedPageBreak/>
        <w:t>IFI</w:t>
      </w:r>
    </w:p>
    <w:p w14:paraId="2ABB93C6" w14:textId="463E6F99" w:rsidR="00F22A0B" w:rsidRPr="005941FD" w:rsidRDefault="00F22A0B" w:rsidP="009F5FCD">
      <w:pPr>
        <w:pStyle w:val="CGPC-elearning"/>
      </w:pPr>
      <w:r w:rsidRPr="005941FD">
        <w:t>Les locaux loués en meublé professionnel sont considérés comme outils de travail et à ce titre exonérés d’IFI, à condition de respecter la définition du loueur en meublé au regard de cet impôt (ci-dessus).</w:t>
      </w:r>
      <w:r w:rsidR="00A529F4">
        <w:br/>
      </w:r>
    </w:p>
    <w:p w14:paraId="7920D397" w14:textId="77777777" w:rsidR="00F22A0B" w:rsidRPr="00A529F4" w:rsidRDefault="00F22A0B" w:rsidP="009F5FCD">
      <w:pPr>
        <w:pStyle w:val="Titre4"/>
      </w:pPr>
      <w:r w:rsidRPr="00A529F4">
        <w:t>TVA</w:t>
      </w:r>
    </w:p>
    <w:p w14:paraId="7B623EB0" w14:textId="77777777" w:rsidR="00F22A0B" w:rsidRPr="005941FD" w:rsidRDefault="00F22A0B" w:rsidP="009F5FCD">
      <w:pPr>
        <w:pStyle w:val="CGPC-elearning"/>
      </w:pPr>
      <w:r w:rsidRPr="005941FD">
        <w:t>Les locations meublées sont en général exonérées de TVA, sauf si au moins trois prestations accessoires à la location sont proposées (fourniture du petit-déjeuner, fourniture du linge de maison, ménage, réception des clients).</w:t>
      </w:r>
    </w:p>
    <w:p w14:paraId="030BE971" w14:textId="2855679B" w:rsidR="00F22A0B" w:rsidRPr="005941FD" w:rsidRDefault="00F22A0B" w:rsidP="009F5FCD">
      <w:pPr>
        <w:pStyle w:val="CGPC-elearning"/>
      </w:pPr>
      <w:r w:rsidRPr="005941FD">
        <w:rPr>
          <w:noProof/>
        </w:rPr>
        <w:drawing>
          <wp:inline distT="0" distB="0" distL="0" distR="0" wp14:anchorId="4C09BD69" wp14:editId="13831F53">
            <wp:extent cx="204470" cy="204470"/>
            <wp:effectExtent l="0" t="0" r="5080" b="5080"/>
            <wp:docPr id="734005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41FD">
        <w:rPr>
          <w:rStyle w:val="lev"/>
          <w:b w:val="0"/>
          <w:bCs/>
        </w:rPr>
        <w:t> Remarques</w:t>
      </w:r>
    </w:p>
    <w:p w14:paraId="7B073F22" w14:textId="77777777" w:rsidR="00F22A0B" w:rsidRPr="005941FD" w:rsidRDefault="00F22A0B" w:rsidP="009F5FCD">
      <w:pPr>
        <w:pStyle w:val="CGPC-elearning"/>
      </w:pPr>
      <w:r w:rsidRPr="005941FD">
        <w:t>En cas de montage de défiscalisation à base de crédit remboursable « in fine », la banque doit exiger de garantir son opération par un apport en trésorerie placé en bons de capitalisation par exemple.</w:t>
      </w:r>
    </w:p>
    <w:p w14:paraId="600DE633" w14:textId="77777777" w:rsidR="00F22A0B" w:rsidRPr="005941FD" w:rsidRDefault="00F22A0B" w:rsidP="009F5FCD">
      <w:pPr>
        <w:pStyle w:val="CGPC-elearning"/>
      </w:pPr>
      <w:r w:rsidRPr="005941FD">
        <w:t>Pour optimiser le montage fiscal, il faut réserver cette opération à des investisseurs fortement imposés, et prêts à immobiliser des capitaux sur des durées supérieures à 15 ans.</w:t>
      </w:r>
    </w:p>
    <w:sectPr w:rsidR="00F22A0B" w:rsidRPr="005941FD" w:rsidSect="0017549B">
      <w:pgSz w:w="16838" w:h="11906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E73831" w14:textId="77777777" w:rsidR="00250B3F" w:rsidRDefault="00250B3F" w:rsidP="002020F9">
      <w:pPr>
        <w:spacing w:after="0" w:line="240" w:lineRule="auto"/>
      </w:pPr>
      <w:r>
        <w:separator/>
      </w:r>
    </w:p>
  </w:endnote>
  <w:endnote w:type="continuationSeparator" w:id="0">
    <w:p w14:paraId="197889AA" w14:textId="77777777" w:rsidR="00250B3F" w:rsidRDefault="00250B3F" w:rsidP="002020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83E3E37B-C42A-4574-A2F1-B103DA235FB7}"/>
    <w:embedBold r:id="rId2" w:fontKey="{A1463F3F-B809-498B-B9D8-74A331E03E67}"/>
    <w:embedItalic r:id="rId3" w:fontKey="{9D7A2DB0-767F-478F-B10B-72B473E43736}"/>
    <w:embedBoldItalic r:id="rId4" w:fontKey="{C0F39385-78D6-44BB-BD1A-D9A73D957ED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99D0916-4730-452A-9364-2224116488DC}"/>
    <w:embedBold r:id="rId6" w:fontKey="{A569296E-976D-4F94-BA17-E7639E3382FC}"/>
    <w:embedItalic r:id="rId7" w:fontKey="{28F4C67B-B26B-4EBB-8B7A-F9C820E243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D5C9E47C-9857-453A-902F-B1299C89505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9" w:fontKey="{46353A4A-FBD9-46AF-88C8-43F690A0A48F}"/>
    <w:embedBold r:id="rId10" w:fontKey="{2AEC8705-040A-4F8E-9D87-C616E6B68E3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566242" w14:textId="77777777" w:rsidR="00250B3F" w:rsidRDefault="00250B3F" w:rsidP="002020F9">
      <w:pPr>
        <w:spacing w:after="0" w:line="240" w:lineRule="auto"/>
      </w:pPr>
      <w:r>
        <w:separator/>
      </w:r>
    </w:p>
  </w:footnote>
  <w:footnote w:type="continuationSeparator" w:id="0">
    <w:p w14:paraId="50DDFECD" w14:textId="77777777" w:rsidR="00250B3F" w:rsidRDefault="00250B3F" w:rsidP="002020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102ED623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90.15pt;height:490.15pt;visibility:visible;mso-wrap-style:square" o:bullet="t">
        <v:imagedata r:id="rId1" o:title=""/>
      </v:shape>
    </w:pict>
  </w:numPicBullet>
  <w:abstractNum w:abstractNumId="0" w15:restartNumberingAfterBreak="0">
    <w:nsid w:val="1B193DB6"/>
    <w:multiLevelType w:val="hybridMultilevel"/>
    <w:tmpl w:val="039E0570"/>
    <w:lvl w:ilvl="0" w:tplc="F5321EF8">
      <w:start w:val="1"/>
      <w:numFmt w:val="bullet"/>
      <w:pStyle w:val="CGPC-elearni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3BBF"/>
    <w:multiLevelType w:val="hybridMultilevel"/>
    <w:tmpl w:val="477E41D8"/>
    <w:lvl w:ilvl="0" w:tplc="B6D0CD94"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9976D8"/>
    <w:multiLevelType w:val="hybridMultilevel"/>
    <w:tmpl w:val="0A943FB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103043"/>
    <w:multiLevelType w:val="hybridMultilevel"/>
    <w:tmpl w:val="EF8429C2"/>
    <w:lvl w:ilvl="0" w:tplc="7A56B31C">
      <w:start w:val="1"/>
      <w:numFmt w:val="decimal"/>
      <w:pStyle w:val="Titre3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7B24B8"/>
    <w:multiLevelType w:val="hybridMultilevel"/>
    <w:tmpl w:val="3AF88948"/>
    <w:lvl w:ilvl="0" w:tplc="FF10C4E0">
      <w:start w:val="1"/>
      <w:numFmt w:val="upperLetter"/>
      <w:pStyle w:val="Titre4"/>
      <w:lvlText w:val="%1.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4314407"/>
    <w:multiLevelType w:val="multilevel"/>
    <w:tmpl w:val="ADB21404"/>
    <w:lvl w:ilvl="0">
      <w:start w:val="1"/>
      <w:numFmt w:val="upperRoman"/>
      <w:pStyle w:val="Titre2"/>
      <w:lvlText w:val="%1."/>
      <w:lvlJc w:val="right"/>
      <w:pPr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63476C6F"/>
    <w:multiLevelType w:val="hybridMultilevel"/>
    <w:tmpl w:val="77625AC6"/>
    <w:lvl w:ilvl="0" w:tplc="B484DBA2"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767519">
    <w:abstractNumId w:val="5"/>
  </w:num>
  <w:num w:numId="2" w16cid:durableId="1427118286">
    <w:abstractNumId w:val="4"/>
  </w:num>
  <w:num w:numId="3" w16cid:durableId="1112436831">
    <w:abstractNumId w:val="3"/>
  </w:num>
  <w:num w:numId="4" w16cid:durableId="1624001197">
    <w:abstractNumId w:val="3"/>
    <w:lvlOverride w:ilvl="0">
      <w:startOverride w:val="1"/>
    </w:lvlOverride>
  </w:num>
  <w:num w:numId="5" w16cid:durableId="1446927490">
    <w:abstractNumId w:val="2"/>
  </w:num>
  <w:num w:numId="6" w16cid:durableId="678771070">
    <w:abstractNumId w:val="1"/>
  </w:num>
  <w:num w:numId="7" w16cid:durableId="811092586">
    <w:abstractNumId w:val="0"/>
  </w:num>
  <w:num w:numId="8" w16cid:durableId="715856559">
    <w:abstractNumId w:val="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774"/>
    <w:rsid w:val="000264EA"/>
    <w:rsid w:val="00034550"/>
    <w:rsid w:val="0003524E"/>
    <w:rsid w:val="00074CCE"/>
    <w:rsid w:val="00075E24"/>
    <w:rsid w:val="000B2DD5"/>
    <w:rsid w:val="000C2B3F"/>
    <w:rsid w:val="000D7156"/>
    <w:rsid w:val="000E681C"/>
    <w:rsid w:val="00121DC1"/>
    <w:rsid w:val="00140292"/>
    <w:rsid w:val="001525E5"/>
    <w:rsid w:val="00164181"/>
    <w:rsid w:val="0017549B"/>
    <w:rsid w:val="001B7F85"/>
    <w:rsid w:val="001C1987"/>
    <w:rsid w:val="002020F9"/>
    <w:rsid w:val="0023200C"/>
    <w:rsid w:val="00250B3F"/>
    <w:rsid w:val="0025726A"/>
    <w:rsid w:val="00257787"/>
    <w:rsid w:val="002777A7"/>
    <w:rsid w:val="00281A87"/>
    <w:rsid w:val="002863E1"/>
    <w:rsid w:val="00286925"/>
    <w:rsid w:val="00295640"/>
    <w:rsid w:val="002E7C98"/>
    <w:rsid w:val="00302747"/>
    <w:rsid w:val="00326184"/>
    <w:rsid w:val="00336595"/>
    <w:rsid w:val="00347839"/>
    <w:rsid w:val="0036727B"/>
    <w:rsid w:val="00382B2F"/>
    <w:rsid w:val="003B4EFA"/>
    <w:rsid w:val="003F2B3C"/>
    <w:rsid w:val="003F672D"/>
    <w:rsid w:val="00402ABA"/>
    <w:rsid w:val="004050CB"/>
    <w:rsid w:val="00421434"/>
    <w:rsid w:val="0043526F"/>
    <w:rsid w:val="00463BEF"/>
    <w:rsid w:val="00470129"/>
    <w:rsid w:val="004B7557"/>
    <w:rsid w:val="004C5E68"/>
    <w:rsid w:val="004F7075"/>
    <w:rsid w:val="00537457"/>
    <w:rsid w:val="00563C2E"/>
    <w:rsid w:val="00564049"/>
    <w:rsid w:val="00566BDA"/>
    <w:rsid w:val="00585ED0"/>
    <w:rsid w:val="005929CB"/>
    <w:rsid w:val="00593959"/>
    <w:rsid w:val="00593B94"/>
    <w:rsid w:val="00593DBA"/>
    <w:rsid w:val="005941FD"/>
    <w:rsid w:val="005A5767"/>
    <w:rsid w:val="00624CAE"/>
    <w:rsid w:val="0062781F"/>
    <w:rsid w:val="006478F6"/>
    <w:rsid w:val="00656B06"/>
    <w:rsid w:val="00677448"/>
    <w:rsid w:val="00687D34"/>
    <w:rsid w:val="00696258"/>
    <w:rsid w:val="006E2203"/>
    <w:rsid w:val="00733BE4"/>
    <w:rsid w:val="00734505"/>
    <w:rsid w:val="00736EAA"/>
    <w:rsid w:val="00747A7D"/>
    <w:rsid w:val="0075298A"/>
    <w:rsid w:val="00780465"/>
    <w:rsid w:val="00780EF6"/>
    <w:rsid w:val="007926FF"/>
    <w:rsid w:val="007939B9"/>
    <w:rsid w:val="007A379E"/>
    <w:rsid w:val="00806BE8"/>
    <w:rsid w:val="00834AAF"/>
    <w:rsid w:val="00861A15"/>
    <w:rsid w:val="0086428A"/>
    <w:rsid w:val="008762BF"/>
    <w:rsid w:val="00890676"/>
    <w:rsid w:val="008D43D9"/>
    <w:rsid w:val="008F02D5"/>
    <w:rsid w:val="00913774"/>
    <w:rsid w:val="00920397"/>
    <w:rsid w:val="009510B1"/>
    <w:rsid w:val="00993C6A"/>
    <w:rsid w:val="009F5FCD"/>
    <w:rsid w:val="00A13493"/>
    <w:rsid w:val="00A529F4"/>
    <w:rsid w:val="00A65FAC"/>
    <w:rsid w:val="00A87FD6"/>
    <w:rsid w:val="00AA0F29"/>
    <w:rsid w:val="00AB4B4C"/>
    <w:rsid w:val="00AC2133"/>
    <w:rsid w:val="00AC4FFD"/>
    <w:rsid w:val="00B10D7C"/>
    <w:rsid w:val="00B10DE0"/>
    <w:rsid w:val="00B122A5"/>
    <w:rsid w:val="00B25AB9"/>
    <w:rsid w:val="00B307B6"/>
    <w:rsid w:val="00B42117"/>
    <w:rsid w:val="00B5286C"/>
    <w:rsid w:val="00B630C8"/>
    <w:rsid w:val="00B7208E"/>
    <w:rsid w:val="00B7682B"/>
    <w:rsid w:val="00B916C2"/>
    <w:rsid w:val="00BB398C"/>
    <w:rsid w:val="00BB612F"/>
    <w:rsid w:val="00BE50B1"/>
    <w:rsid w:val="00BF3686"/>
    <w:rsid w:val="00BF4DAF"/>
    <w:rsid w:val="00BF7C89"/>
    <w:rsid w:val="00C40002"/>
    <w:rsid w:val="00C44C02"/>
    <w:rsid w:val="00C5314E"/>
    <w:rsid w:val="00C55711"/>
    <w:rsid w:val="00C730EB"/>
    <w:rsid w:val="00C83889"/>
    <w:rsid w:val="00C86C18"/>
    <w:rsid w:val="00C950C9"/>
    <w:rsid w:val="00C96E76"/>
    <w:rsid w:val="00CC5221"/>
    <w:rsid w:val="00CD7335"/>
    <w:rsid w:val="00D06DE3"/>
    <w:rsid w:val="00D15A12"/>
    <w:rsid w:val="00D311A6"/>
    <w:rsid w:val="00D34BA7"/>
    <w:rsid w:val="00D5574B"/>
    <w:rsid w:val="00D61076"/>
    <w:rsid w:val="00D6191B"/>
    <w:rsid w:val="00D62139"/>
    <w:rsid w:val="00D7312E"/>
    <w:rsid w:val="00D865BE"/>
    <w:rsid w:val="00DA5405"/>
    <w:rsid w:val="00DC5D75"/>
    <w:rsid w:val="00DE0060"/>
    <w:rsid w:val="00E57CBB"/>
    <w:rsid w:val="00E96BE2"/>
    <w:rsid w:val="00EB02FF"/>
    <w:rsid w:val="00EC652C"/>
    <w:rsid w:val="00F20DA2"/>
    <w:rsid w:val="00F22A0B"/>
    <w:rsid w:val="00F47FFD"/>
    <w:rsid w:val="00F90756"/>
    <w:rsid w:val="00FD029E"/>
    <w:rsid w:val="00FD7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AE0B46"/>
  <w15:chartTrackingRefBased/>
  <w15:docId w15:val="{D38E46E4-90C2-4E05-A83A-439846C6C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cgpc"/>
    <w:next w:val="CGPC-elearning"/>
    <w:qFormat/>
    <w:rsid w:val="00733BE4"/>
    <w:pPr>
      <w:jc w:val="both"/>
    </w:pPr>
    <w:rPr>
      <w:rFonts w:ascii="Open Sans" w:hAnsi="Open Sans"/>
      <w:kern w:val="0"/>
      <w:sz w:val="28"/>
      <w14:ligatures w14:val="none"/>
    </w:rPr>
  </w:style>
  <w:style w:type="paragraph" w:styleId="Titre1">
    <w:name w:val="heading 1"/>
    <w:basedOn w:val="Normal"/>
    <w:next w:val="Titre2"/>
    <w:link w:val="Titre1Car"/>
    <w:autoRedefine/>
    <w:uiPriority w:val="9"/>
    <w:qFormat/>
    <w:rsid w:val="00075E24"/>
    <w:pPr>
      <w:keepNext/>
      <w:keepLines/>
      <w:spacing w:before="240" w:after="0"/>
      <w:outlineLvl w:val="0"/>
    </w:pPr>
    <w:rPr>
      <w:rFonts w:eastAsiaTheme="majorEastAsia" w:cstheme="majorBidi"/>
      <w:b/>
      <w:sz w:val="60"/>
      <w:szCs w:val="32"/>
    </w:rPr>
  </w:style>
  <w:style w:type="paragraph" w:styleId="Titre2">
    <w:name w:val="heading 2"/>
    <w:aliases w:val="Titre 2 CGPC"/>
    <w:basedOn w:val="CGPC-elearning"/>
    <w:next w:val="Normal"/>
    <w:link w:val="Titre2Car"/>
    <w:autoRedefine/>
    <w:uiPriority w:val="9"/>
    <w:unhideWhenUsed/>
    <w:qFormat/>
    <w:rsid w:val="0023200C"/>
    <w:pPr>
      <w:keepNext/>
      <w:keepLines/>
      <w:numPr>
        <w:numId w:val="1"/>
      </w:numPr>
      <w:spacing w:after="0" w:line="600" w:lineRule="atLeast"/>
      <w:ind w:left="714" w:hanging="357"/>
      <w:contextualSpacing/>
      <w:jc w:val="both"/>
      <w:textAlignment w:val="baseline"/>
      <w:outlineLvl w:val="1"/>
    </w:pPr>
    <w:rPr>
      <w:rFonts w:eastAsiaTheme="majorEastAsia"/>
      <w:b/>
      <w:color w:val="FFFFFF" w:themeColor="background1"/>
      <w:sz w:val="44"/>
      <w:szCs w:val="26"/>
      <w:bdr w:val="none" w:sz="0" w:space="0" w:color="auto" w:frame="1"/>
    </w:rPr>
  </w:style>
  <w:style w:type="paragraph" w:styleId="Titre3">
    <w:name w:val="heading 3"/>
    <w:aliases w:val="Titre 3 CGPC"/>
    <w:basedOn w:val="CGPC-elearning"/>
    <w:next w:val="Normal"/>
    <w:link w:val="Titre3Car"/>
    <w:autoRedefine/>
    <w:uiPriority w:val="9"/>
    <w:unhideWhenUsed/>
    <w:qFormat/>
    <w:rsid w:val="0023200C"/>
    <w:pPr>
      <w:keepNext/>
      <w:keepLines/>
      <w:numPr>
        <w:numId w:val="3"/>
      </w:numPr>
      <w:spacing w:before="280" w:after="240"/>
      <w:outlineLvl w:val="2"/>
    </w:pPr>
    <w:rPr>
      <w:rFonts w:eastAsia="Times New Roman" w:cstheme="majorBidi"/>
      <w:b/>
      <w:color w:val="2F5496" w:themeColor="accent1" w:themeShade="BF"/>
      <w:sz w:val="40"/>
      <w:szCs w:val="21"/>
      <w:bdr w:val="none" w:sz="0" w:space="0" w:color="auto" w:frame="1"/>
      <w:lang w:eastAsia="fr-FR"/>
    </w:rPr>
  </w:style>
  <w:style w:type="paragraph" w:styleId="Titre4">
    <w:name w:val="heading 4"/>
    <w:aliases w:val="Titre 4 CGPC"/>
    <w:basedOn w:val="CGPC-elearning"/>
    <w:next w:val="Normal"/>
    <w:link w:val="Titre4Car"/>
    <w:autoRedefine/>
    <w:uiPriority w:val="9"/>
    <w:unhideWhenUsed/>
    <w:qFormat/>
    <w:rsid w:val="0023200C"/>
    <w:pPr>
      <w:keepNext/>
      <w:keepLines/>
      <w:numPr>
        <w:numId w:val="2"/>
      </w:numPr>
      <w:spacing w:before="280" w:after="240"/>
      <w:outlineLvl w:val="3"/>
    </w:pPr>
    <w:rPr>
      <w:rFonts w:eastAsiaTheme="majorEastAsia" w:cstheme="majorBidi"/>
      <w:b/>
      <w:iCs/>
      <w:color w:val="2F5496" w:themeColor="accent1" w:themeShade="BF"/>
      <w:sz w:val="36"/>
      <w:bdr w:val="none" w:sz="0" w:space="0" w:color="auto" w:frame="1"/>
    </w:rPr>
  </w:style>
  <w:style w:type="paragraph" w:styleId="Titre5">
    <w:name w:val="heading 5"/>
    <w:aliases w:val="Titre 5 CGPC"/>
    <w:basedOn w:val="CGPC-elearning"/>
    <w:next w:val="Normal"/>
    <w:link w:val="Titre5Car"/>
    <w:autoRedefine/>
    <w:uiPriority w:val="9"/>
    <w:unhideWhenUsed/>
    <w:qFormat/>
    <w:rsid w:val="00D7312E"/>
    <w:pPr>
      <w:keepNext/>
      <w:keepLines/>
      <w:tabs>
        <w:tab w:val="num" w:pos="720"/>
      </w:tabs>
      <w:spacing w:before="400" w:after="360"/>
      <w:ind w:left="1080"/>
      <w:outlineLvl w:val="4"/>
    </w:pPr>
    <w:rPr>
      <w:rFonts w:eastAsia="Times New Roman" w:cstheme="majorBidi"/>
      <w:b/>
      <w:i/>
      <w:color w:val="2F5496" w:themeColor="accent1" w:themeShade="BF"/>
      <w:bdr w:val="none" w:sz="0" w:space="0" w:color="auto" w:frame="1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aliases w:val="Titre 2 CGPC Car"/>
    <w:basedOn w:val="Policepardfaut"/>
    <w:link w:val="Titre2"/>
    <w:uiPriority w:val="9"/>
    <w:rsid w:val="0023200C"/>
    <w:rPr>
      <w:rFonts w:ascii="Open Sans" w:eastAsiaTheme="majorEastAsia" w:hAnsi="Open Sans" w:cs="Open Sans"/>
      <w:b/>
      <w:bCs/>
      <w:color w:val="FFFFFF" w:themeColor="background1"/>
      <w:sz w:val="44"/>
      <w:szCs w:val="26"/>
      <w:bdr w:val="none" w:sz="0" w:space="0" w:color="auto" w:frame="1"/>
    </w:rPr>
  </w:style>
  <w:style w:type="character" w:customStyle="1" w:styleId="Titre1Car">
    <w:name w:val="Titre 1 Car"/>
    <w:basedOn w:val="Policepardfaut"/>
    <w:link w:val="Titre1"/>
    <w:uiPriority w:val="9"/>
    <w:rsid w:val="00075E24"/>
    <w:rPr>
      <w:rFonts w:ascii="Open Sans" w:eastAsiaTheme="majorEastAsia" w:hAnsi="Open Sans" w:cstheme="majorBidi"/>
      <w:b/>
      <w:sz w:val="60"/>
      <w:szCs w:val="32"/>
    </w:rPr>
  </w:style>
  <w:style w:type="paragraph" w:customStyle="1" w:styleId="CGPC-elearning">
    <w:name w:val="CGPC-elearning"/>
    <w:basedOn w:val="Normal"/>
    <w:link w:val="CGPC-elearningCar"/>
    <w:autoRedefine/>
    <w:qFormat/>
    <w:rsid w:val="009F5FCD"/>
    <w:pPr>
      <w:numPr>
        <w:numId w:val="7"/>
      </w:numPr>
      <w:jc w:val="left"/>
    </w:pPr>
    <w:rPr>
      <w:rFonts w:cs="Open Sans"/>
      <w:bCs/>
      <w:kern w:val="2"/>
      <w:szCs w:val="36"/>
      <w14:ligatures w14:val="standardContextual"/>
    </w:rPr>
  </w:style>
  <w:style w:type="character" w:customStyle="1" w:styleId="CGPC-elearningCar">
    <w:name w:val="CGPC-elearning Car"/>
    <w:basedOn w:val="Policepardfaut"/>
    <w:link w:val="CGPC-elearning"/>
    <w:rsid w:val="009F5FCD"/>
    <w:rPr>
      <w:rFonts w:ascii="Open Sans" w:hAnsi="Open Sans" w:cs="Open Sans"/>
      <w:bCs/>
      <w:sz w:val="28"/>
      <w:szCs w:val="36"/>
    </w:rPr>
  </w:style>
  <w:style w:type="character" w:customStyle="1" w:styleId="Titre3Car">
    <w:name w:val="Titre 3 Car"/>
    <w:aliases w:val="Titre 3 CGPC Car"/>
    <w:basedOn w:val="Policepardfaut"/>
    <w:link w:val="Titre3"/>
    <w:uiPriority w:val="9"/>
    <w:rsid w:val="0023200C"/>
    <w:rPr>
      <w:rFonts w:ascii="Open Sans" w:eastAsia="Times New Roman" w:hAnsi="Open Sans" w:cstheme="majorBidi"/>
      <w:b/>
      <w:bCs/>
      <w:color w:val="2F5496" w:themeColor="accent1" w:themeShade="BF"/>
      <w:sz w:val="40"/>
      <w:szCs w:val="21"/>
      <w:bdr w:val="none" w:sz="0" w:space="0" w:color="auto" w:frame="1"/>
      <w:lang w:eastAsia="fr-FR"/>
    </w:rPr>
  </w:style>
  <w:style w:type="character" w:customStyle="1" w:styleId="Titre4Car">
    <w:name w:val="Titre 4 Car"/>
    <w:aliases w:val="Titre 4 CGPC Car"/>
    <w:basedOn w:val="Policepardfaut"/>
    <w:link w:val="Titre4"/>
    <w:uiPriority w:val="9"/>
    <w:rsid w:val="0023200C"/>
    <w:rPr>
      <w:rFonts w:ascii="Open Sans" w:eastAsiaTheme="majorEastAsia" w:hAnsi="Open Sans" w:cstheme="majorBidi"/>
      <w:b/>
      <w:bCs/>
      <w:iCs/>
      <w:color w:val="2F5496" w:themeColor="accent1" w:themeShade="BF"/>
      <w:sz w:val="36"/>
      <w:szCs w:val="36"/>
      <w:bdr w:val="none" w:sz="0" w:space="0" w:color="auto" w:frame="1"/>
    </w:rPr>
  </w:style>
  <w:style w:type="character" w:customStyle="1" w:styleId="Titre5Car">
    <w:name w:val="Titre 5 Car"/>
    <w:aliases w:val="Titre 5 CGPC Car"/>
    <w:basedOn w:val="Policepardfaut"/>
    <w:link w:val="Titre5"/>
    <w:uiPriority w:val="9"/>
    <w:rsid w:val="00D7312E"/>
    <w:rPr>
      <w:rFonts w:ascii="Open Sans" w:eastAsia="Times New Roman" w:hAnsi="Open Sans" w:cstheme="majorBidi"/>
      <w:b/>
      <w:bCs/>
      <w:i/>
      <w:color w:val="2F5496" w:themeColor="accent1" w:themeShade="BF"/>
      <w:sz w:val="28"/>
      <w:szCs w:val="36"/>
      <w:bdr w:val="none" w:sz="0" w:space="0" w:color="auto" w:frame="1"/>
      <w:lang w:eastAsia="fr-FR"/>
    </w:rPr>
  </w:style>
  <w:style w:type="paragraph" w:styleId="NormalWeb">
    <w:name w:val="Normal (Web)"/>
    <w:basedOn w:val="Normal"/>
    <w:uiPriority w:val="99"/>
    <w:unhideWhenUsed/>
    <w:rsid w:val="0091377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fr-FR"/>
    </w:rPr>
  </w:style>
  <w:style w:type="character" w:styleId="lev">
    <w:name w:val="Strong"/>
    <w:basedOn w:val="Policepardfaut"/>
    <w:uiPriority w:val="22"/>
    <w:qFormat/>
    <w:rsid w:val="00913774"/>
    <w:rPr>
      <w:b/>
      <w:bCs/>
    </w:rPr>
  </w:style>
  <w:style w:type="character" w:styleId="Lienhypertexte">
    <w:name w:val="Hyperlink"/>
    <w:basedOn w:val="Policepardfaut"/>
    <w:uiPriority w:val="99"/>
    <w:unhideWhenUsed/>
    <w:rsid w:val="00913774"/>
    <w:rPr>
      <w:color w:val="0000FF"/>
      <w:u w:val="single"/>
    </w:rPr>
  </w:style>
  <w:style w:type="character" w:styleId="Accentuation">
    <w:name w:val="Emphasis"/>
    <w:basedOn w:val="Policepardfaut"/>
    <w:uiPriority w:val="20"/>
    <w:qFormat/>
    <w:rsid w:val="00913774"/>
    <w:rPr>
      <w:i/>
      <w:iCs/>
    </w:rPr>
  </w:style>
  <w:style w:type="paragraph" w:styleId="z-Hautduformulaire">
    <w:name w:val="HTML Top of Form"/>
    <w:basedOn w:val="Normal"/>
    <w:next w:val="Normal"/>
    <w:link w:val="z-HautduformulaireCar"/>
    <w:hidden/>
    <w:uiPriority w:val="99"/>
    <w:semiHidden/>
    <w:unhideWhenUsed/>
    <w:rsid w:val="0091377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HautduformulaireCar">
    <w:name w:val="z-Haut du formulaire Car"/>
    <w:basedOn w:val="Policepardfaut"/>
    <w:link w:val="z-Hautduformulaire"/>
    <w:uiPriority w:val="99"/>
    <w:semiHidden/>
    <w:rsid w:val="00913774"/>
    <w:rPr>
      <w:rFonts w:ascii="Arial" w:eastAsia="Times New Roman" w:hAnsi="Arial" w:cs="Arial"/>
      <w:vanish/>
      <w:kern w:val="0"/>
      <w:sz w:val="16"/>
      <w:szCs w:val="16"/>
      <w:lang w:eastAsia="fr-FR"/>
      <w14:ligatures w14:val="none"/>
    </w:rPr>
  </w:style>
  <w:style w:type="paragraph" w:styleId="z-Basduformulaire">
    <w:name w:val="HTML Bottom of Form"/>
    <w:basedOn w:val="Normal"/>
    <w:next w:val="Normal"/>
    <w:link w:val="z-BasduformulaireCar"/>
    <w:hidden/>
    <w:uiPriority w:val="99"/>
    <w:semiHidden/>
    <w:unhideWhenUsed/>
    <w:rsid w:val="0091377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BasduformulaireCar">
    <w:name w:val="z-Bas du formulaire Car"/>
    <w:basedOn w:val="Policepardfaut"/>
    <w:link w:val="z-Basduformulaire"/>
    <w:uiPriority w:val="99"/>
    <w:semiHidden/>
    <w:rsid w:val="00913774"/>
    <w:rPr>
      <w:rFonts w:ascii="Arial" w:eastAsia="Times New Roman" w:hAnsi="Arial" w:cs="Arial"/>
      <w:vanish/>
      <w:kern w:val="0"/>
      <w:sz w:val="16"/>
      <w:szCs w:val="16"/>
      <w:lang w:eastAsia="fr-FR"/>
      <w14:ligatures w14:val="none"/>
    </w:rPr>
  </w:style>
  <w:style w:type="paragraph" w:styleId="Sansinterligne">
    <w:name w:val="No Spacing"/>
    <w:link w:val="SansinterligneCar"/>
    <w:uiPriority w:val="1"/>
    <w:qFormat/>
    <w:rsid w:val="00677448"/>
    <w:pPr>
      <w:spacing w:after="0" w:line="240" w:lineRule="auto"/>
    </w:pPr>
    <w:rPr>
      <w:rFonts w:eastAsiaTheme="minorEastAsia"/>
      <w:kern w:val="0"/>
      <w:lang w:eastAsia="fr-FR"/>
      <w14:ligatures w14:val="none"/>
    </w:rPr>
  </w:style>
  <w:style w:type="character" w:customStyle="1" w:styleId="SansinterligneCar">
    <w:name w:val="Sans interligne Car"/>
    <w:basedOn w:val="Policepardfaut"/>
    <w:link w:val="Sansinterligne"/>
    <w:uiPriority w:val="1"/>
    <w:rsid w:val="00677448"/>
    <w:rPr>
      <w:rFonts w:eastAsiaTheme="minorEastAsia"/>
      <w:kern w:val="0"/>
      <w:lang w:eastAsia="fr-FR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42117"/>
    <w:pPr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fr-FR"/>
    </w:rPr>
  </w:style>
  <w:style w:type="paragraph" w:styleId="TM2">
    <w:name w:val="toc 2"/>
    <w:basedOn w:val="Normal"/>
    <w:next w:val="Normal"/>
    <w:autoRedefine/>
    <w:uiPriority w:val="39"/>
    <w:unhideWhenUsed/>
    <w:rsid w:val="00B42117"/>
    <w:pPr>
      <w:spacing w:after="100"/>
      <w:ind w:left="240"/>
    </w:pPr>
  </w:style>
  <w:style w:type="paragraph" w:styleId="TM3">
    <w:name w:val="toc 3"/>
    <w:basedOn w:val="Normal"/>
    <w:next w:val="Normal"/>
    <w:autoRedefine/>
    <w:uiPriority w:val="39"/>
    <w:unhideWhenUsed/>
    <w:rsid w:val="00B42117"/>
    <w:pPr>
      <w:tabs>
        <w:tab w:val="left" w:pos="1100"/>
        <w:tab w:val="right" w:leader="dot" w:pos="10095"/>
      </w:tabs>
      <w:spacing w:after="100"/>
      <w:ind w:left="480"/>
    </w:pPr>
  </w:style>
  <w:style w:type="paragraph" w:styleId="En-tte">
    <w:name w:val="header"/>
    <w:basedOn w:val="Normal"/>
    <w:link w:val="En-tteCar"/>
    <w:uiPriority w:val="99"/>
    <w:unhideWhenUsed/>
    <w:rsid w:val="002020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020F9"/>
    <w:rPr>
      <w:rFonts w:ascii="Open Sans" w:hAnsi="Open Sans"/>
      <w:kern w:val="0"/>
      <w:sz w:val="24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2020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020F9"/>
    <w:rPr>
      <w:rFonts w:ascii="Open Sans" w:hAnsi="Open Sans"/>
      <w:kern w:val="0"/>
      <w:sz w:val="24"/>
      <w14:ligatures w14:val="none"/>
    </w:rPr>
  </w:style>
  <w:style w:type="paragraph" w:styleId="TM1">
    <w:name w:val="toc 1"/>
    <w:basedOn w:val="Normal"/>
    <w:next w:val="Normal"/>
    <w:autoRedefine/>
    <w:uiPriority w:val="39"/>
    <w:unhideWhenUsed/>
    <w:rsid w:val="00E57CBB"/>
    <w:pPr>
      <w:spacing w:after="100"/>
    </w:p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57CB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57CBB"/>
    <w:rPr>
      <w:rFonts w:ascii="Open Sans" w:hAnsi="Open Sans"/>
      <w:i/>
      <w:iCs/>
      <w:color w:val="4472C4" w:themeColor="accent1"/>
      <w:kern w:val="0"/>
      <w:sz w:val="24"/>
      <w14:ligatures w14:val="none"/>
    </w:rPr>
  </w:style>
  <w:style w:type="character" w:customStyle="1" w:styleId="lwptoctoggle">
    <w:name w:val="lwptoc_toggle"/>
    <w:basedOn w:val="Policepardfaut"/>
    <w:rsid w:val="00FD73FA"/>
  </w:style>
  <w:style w:type="character" w:customStyle="1" w:styleId="lwptocitemlabel">
    <w:name w:val="lwptoc_item_label"/>
    <w:basedOn w:val="Policepardfaut"/>
    <w:rsid w:val="00FD73FA"/>
  </w:style>
  <w:style w:type="paragraph" w:styleId="Corpsdetexte">
    <w:name w:val="Body Text"/>
    <w:basedOn w:val="Normal"/>
    <w:link w:val="CorpsdetexteCar"/>
    <w:uiPriority w:val="1"/>
    <w:qFormat/>
    <w:rsid w:val="00382B2F"/>
    <w:pPr>
      <w:widowControl w:val="0"/>
      <w:autoSpaceDE w:val="0"/>
      <w:autoSpaceDN w:val="0"/>
      <w:spacing w:after="0" w:line="240" w:lineRule="auto"/>
      <w:jc w:val="left"/>
    </w:pPr>
    <w:rPr>
      <w:rFonts w:ascii="Verdana" w:eastAsia="Verdana" w:hAnsi="Verdana" w:cs="Verdana"/>
      <w:sz w:val="35"/>
      <w:szCs w:val="35"/>
    </w:rPr>
  </w:style>
  <w:style w:type="character" w:customStyle="1" w:styleId="CorpsdetexteCar">
    <w:name w:val="Corps de texte Car"/>
    <w:basedOn w:val="Policepardfaut"/>
    <w:link w:val="Corpsdetexte"/>
    <w:uiPriority w:val="1"/>
    <w:rsid w:val="00382B2F"/>
    <w:rPr>
      <w:rFonts w:ascii="Verdana" w:eastAsia="Verdana" w:hAnsi="Verdana" w:cs="Verdana"/>
      <w:kern w:val="0"/>
      <w:sz w:val="35"/>
      <w:szCs w:val="35"/>
      <w14:ligatures w14:val="none"/>
    </w:rPr>
  </w:style>
  <w:style w:type="paragraph" w:styleId="Titre">
    <w:name w:val="Title"/>
    <w:basedOn w:val="Normal"/>
    <w:link w:val="TitreCar"/>
    <w:uiPriority w:val="10"/>
    <w:qFormat/>
    <w:rsid w:val="00382B2F"/>
    <w:pPr>
      <w:widowControl w:val="0"/>
      <w:autoSpaceDE w:val="0"/>
      <w:autoSpaceDN w:val="0"/>
      <w:spacing w:before="167" w:after="0" w:line="240" w:lineRule="auto"/>
      <w:ind w:left="672"/>
      <w:jc w:val="left"/>
    </w:pPr>
    <w:rPr>
      <w:rFonts w:ascii="Verdana" w:eastAsia="Verdana" w:hAnsi="Verdana" w:cs="Verdana"/>
      <w:b/>
      <w:bCs/>
      <w:sz w:val="155"/>
      <w:szCs w:val="155"/>
    </w:rPr>
  </w:style>
  <w:style w:type="character" w:customStyle="1" w:styleId="TitreCar">
    <w:name w:val="Titre Car"/>
    <w:basedOn w:val="Policepardfaut"/>
    <w:link w:val="Titre"/>
    <w:uiPriority w:val="10"/>
    <w:rsid w:val="00382B2F"/>
    <w:rPr>
      <w:rFonts w:ascii="Verdana" w:eastAsia="Verdana" w:hAnsi="Verdana" w:cs="Verdana"/>
      <w:b/>
      <w:bCs/>
      <w:kern w:val="0"/>
      <w:sz w:val="155"/>
      <w:szCs w:val="155"/>
      <w14:ligatures w14:val="none"/>
    </w:rPr>
  </w:style>
  <w:style w:type="character" w:styleId="Lienhypertextesuivivisit">
    <w:name w:val="FollowedHyperlink"/>
    <w:basedOn w:val="Policepardfaut"/>
    <w:uiPriority w:val="99"/>
    <w:semiHidden/>
    <w:unhideWhenUsed/>
    <w:rsid w:val="009510B1"/>
    <w:rPr>
      <w:color w:val="954F72" w:themeColor="followedHyperlink"/>
      <w:u w:val="single"/>
    </w:rPr>
  </w:style>
  <w:style w:type="paragraph" w:styleId="Paragraphedeliste">
    <w:name w:val="List Paragraph"/>
    <w:basedOn w:val="Normal"/>
    <w:uiPriority w:val="34"/>
    <w:qFormat/>
    <w:rsid w:val="00D6213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383574"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6088">
              <w:marLeft w:val="0"/>
              <w:marRight w:val="0"/>
              <w:marTop w:val="0"/>
              <w:marBottom w:val="9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8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114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829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527442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92905">
                          <w:marLeft w:val="21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46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20908086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35497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5381422">
                          <w:marLeft w:val="21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220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327786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149801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730611">
                              <w:marLeft w:val="0"/>
                              <w:marRight w:val="0"/>
                              <w:marTop w:val="3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4067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4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10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221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01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67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16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30087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48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41127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38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95479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65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7276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7161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77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583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05854">
              <w:marLeft w:val="30"/>
              <w:marRight w:val="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6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2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90119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903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807114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230623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89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640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407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561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8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0824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52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28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16343400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535647">
                      <w:marLeft w:val="0"/>
                      <w:marRight w:val="11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63464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5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433554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477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5092895">
                          <w:marLeft w:val="0"/>
                          <w:marRight w:val="0"/>
                          <w:marTop w:val="0"/>
                          <w:marBottom w:val="57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609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2988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654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6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AF460F70362646BCBF863D62D99DF7" ma:contentTypeVersion="14" ma:contentTypeDescription="Crée un document." ma:contentTypeScope="" ma:versionID="19d947a492dced9da262b60f42281682">
  <xsd:schema xmlns:xsd="http://www.w3.org/2001/XMLSchema" xmlns:xs="http://www.w3.org/2001/XMLSchema" xmlns:p="http://schemas.microsoft.com/office/2006/metadata/properties" xmlns:ns2="b079812a-7967-4ed2-9291-1c797a51b449" xmlns:ns3="427b065b-dfa1-44b2-8977-c4f8c74eb7ce" targetNamespace="http://schemas.microsoft.com/office/2006/metadata/properties" ma:root="true" ma:fieldsID="eca7720a5136430c56d504f4a35bfa62" ns2:_="" ns3:_="">
    <xsd:import namespace="b079812a-7967-4ed2-9291-1c797a51b449"/>
    <xsd:import namespace="427b065b-dfa1-44b2-8977-c4f8c74eb7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Dateetheu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79812a-7967-4ed2-9291-1c797a51b44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Balises d’images" ma:readOnly="false" ma:fieldId="{5cf76f15-5ced-4ddc-b409-7134ff3c332f}" ma:taxonomyMulti="true" ma:sspId="e8ee2d43-1f87-4f82-a716-8ad3ee2649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Dateetheure" ma:index="21" nillable="true" ma:displayName="Date et heure" ma:format="DateTime" ma:internalName="Dateetheur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7b065b-dfa1-44b2-8977-c4f8c74eb7c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4eb0e03f-ee08-4898-bc4c-886ada32954e}" ma:internalName="TaxCatchAll" ma:showField="CatchAllData" ma:web="427b065b-dfa1-44b2-8977-c4f8c74eb7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27b065b-dfa1-44b2-8977-c4f8c74eb7ce" xsi:nil="true"/>
    <lcf76f155ced4ddcb4097134ff3c332f xmlns="b079812a-7967-4ed2-9291-1c797a51b449">
      <Terms xmlns="http://schemas.microsoft.com/office/infopath/2007/PartnerControls"/>
    </lcf76f155ced4ddcb4097134ff3c332f>
    <Dateetheure xmlns="b079812a-7967-4ed2-9291-1c797a51b449" xsi:nil="true"/>
  </documentManagement>
</p:properties>
</file>

<file path=customXml/itemProps1.xml><?xml version="1.0" encoding="utf-8"?>
<ds:datastoreItem xmlns:ds="http://schemas.openxmlformats.org/officeDocument/2006/customXml" ds:itemID="{E25814D9-F94A-4C6D-88F9-81A490A58B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79812a-7967-4ed2-9291-1c797a51b449"/>
    <ds:schemaRef ds:uri="427b065b-dfa1-44b2-8977-c4f8c74eb7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6860B8-FD4F-42C5-9158-D94F5813C84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FFF58E5-BC57-4D12-86EE-4378BCA5297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BF18981-A384-4D88-A19F-AA1066578994}">
  <ds:schemaRefs>
    <ds:schemaRef ds:uri="http://schemas.microsoft.com/office/2006/metadata/properties"/>
    <ds:schemaRef ds:uri="http://schemas.microsoft.com/office/infopath/2007/PartnerControls"/>
    <ds:schemaRef ds:uri="427b065b-dfa1-44b2-8977-c4f8c74eb7ce"/>
    <ds:schemaRef ds:uri="b079812a-7967-4ed2-9291-1c797a51b44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19</Pages>
  <Words>1542</Words>
  <Characters>8485</Characters>
  <Application>Microsoft Office Word</Application>
  <DocSecurity>0</DocSecurity>
  <Lines>70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Chapitre 4</vt:lpstr>
    </vt:vector>
  </TitlesOfParts>
  <Company>CGPC - membre DE FPSB</Company>
  <LinksUpToDate>false</LinksUpToDate>
  <CharactersWithSpaces>10007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Chapitre 4</dc:title>
  <dc:subject>Des arbitrages relatifs à la constitution des actifs patrimoniaux</dc:subject>
  <dc:creator>Raymond Leban</dc:creator>
  <cp:keywords/>
  <dc:description/>
  <cp:lastModifiedBy>Raymond Leban</cp:lastModifiedBy>
  <cp:revision>78</cp:revision>
  <cp:lastPrinted>2026-01-21T15:50:00Z</cp:lastPrinted>
  <dcterms:created xsi:type="dcterms:W3CDTF">2024-01-11T13:42:00Z</dcterms:created>
  <dcterms:modified xsi:type="dcterms:W3CDTF">2026-02-06T08:46:00Z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0x01010069AF460F70362646BCBF863D62D99DF7</vt:lpwstr>
  </property>
  <property fmtid="{D5CDD505-2E9C-101B-9397-08002B2CF9AE}" pid="3" name="MediaServiceImageTags">
    <vt:lpwstr/>
  </property>
</Properties>
</file>